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A752" w14:textId="65ABD285" w:rsidR="004F0CA1" w:rsidRPr="00175FC8" w:rsidRDefault="00CD1CBD" w:rsidP="00CD1CBD">
      <w:pPr>
        <w:tabs>
          <w:tab w:val="left" w:pos="568"/>
        </w:tabs>
        <w:spacing w:line="100" w:lineRule="atLeast"/>
        <w:ind w:firstLine="55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F0CA1" w:rsidRPr="00175FC8">
        <w:rPr>
          <w:rFonts w:ascii="PT Astra Serif" w:hAnsi="PT Astra Serif"/>
          <w:sz w:val="28"/>
          <w:szCs w:val="28"/>
        </w:rPr>
        <w:t>УТВЕРЖДЕНО</w:t>
      </w:r>
    </w:p>
    <w:p w14:paraId="1E36AD35" w14:textId="498F7386" w:rsidR="004F0CA1" w:rsidRPr="00175FC8" w:rsidRDefault="00CD1CBD" w:rsidP="00CD1CBD">
      <w:pPr>
        <w:tabs>
          <w:tab w:val="left" w:pos="568"/>
        </w:tabs>
        <w:spacing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C77681">
        <w:rPr>
          <w:rFonts w:ascii="PT Astra Serif" w:hAnsi="PT Astra Serif"/>
          <w:sz w:val="28"/>
          <w:szCs w:val="28"/>
        </w:rPr>
        <w:t>р</w:t>
      </w:r>
      <w:r w:rsidR="004F0CA1" w:rsidRPr="00175FC8">
        <w:rPr>
          <w:rFonts w:ascii="PT Astra Serif" w:hAnsi="PT Astra Serif"/>
          <w:sz w:val="28"/>
          <w:szCs w:val="28"/>
        </w:rPr>
        <w:t>ешением</w:t>
      </w:r>
      <w:r w:rsidR="003064C9" w:rsidRPr="00175FC8">
        <w:rPr>
          <w:rFonts w:ascii="PT Astra Serif" w:hAnsi="PT Astra Serif"/>
          <w:sz w:val="28"/>
          <w:szCs w:val="28"/>
        </w:rPr>
        <w:t xml:space="preserve"> Совета депутатов</w:t>
      </w:r>
    </w:p>
    <w:p w14:paraId="0190A39F" w14:textId="75C7E76C" w:rsidR="003064C9" w:rsidRPr="00175FC8" w:rsidRDefault="00CD1CBD" w:rsidP="00CD1CBD">
      <w:pPr>
        <w:tabs>
          <w:tab w:val="left" w:pos="568"/>
        </w:tabs>
        <w:spacing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3064C9" w:rsidRPr="00175FC8">
        <w:rPr>
          <w:rFonts w:ascii="PT Astra Serif" w:hAnsi="PT Astra Serif"/>
          <w:sz w:val="28"/>
          <w:szCs w:val="28"/>
        </w:rPr>
        <w:t>Знаменского муниципального</w:t>
      </w:r>
    </w:p>
    <w:p w14:paraId="7BC4803F" w14:textId="3F062078" w:rsidR="003064C9" w:rsidRPr="00175FC8" w:rsidRDefault="00CD1CBD" w:rsidP="00CD1CBD">
      <w:pPr>
        <w:tabs>
          <w:tab w:val="left" w:pos="568"/>
        </w:tabs>
        <w:spacing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C77681">
        <w:rPr>
          <w:rFonts w:ascii="PT Astra Serif" w:hAnsi="PT Astra Serif"/>
          <w:sz w:val="28"/>
          <w:szCs w:val="28"/>
        </w:rPr>
        <w:t>округа Тамбовской области</w:t>
      </w:r>
    </w:p>
    <w:p w14:paraId="329F848D" w14:textId="4B9C3DAB" w:rsidR="004F0CA1" w:rsidRPr="00175FC8" w:rsidRDefault="00CD1CBD" w:rsidP="00CD1C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 w:rsidR="004F0CA1" w:rsidRPr="00175FC8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от </w:t>
      </w:r>
      <w:r w:rsidR="00C77681">
        <w:rPr>
          <w:rFonts w:ascii="PT Astra Serif" w:hAnsi="PT Astra Serif" w:cs="Times New Roman"/>
          <w:b w:val="0"/>
          <w:bCs w:val="0"/>
          <w:sz w:val="28"/>
          <w:szCs w:val="28"/>
        </w:rPr>
        <w:t>18.09.2023</w:t>
      </w:r>
      <w:r w:rsidR="004F0CA1" w:rsidRPr="00175FC8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№</w:t>
      </w:r>
      <w:r w:rsidR="00477999">
        <w:rPr>
          <w:rFonts w:ascii="PT Astra Serif" w:hAnsi="PT Astra Serif" w:cs="Times New Roman"/>
          <w:b w:val="0"/>
          <w:bCs w:val="0"/>
          <w:sz w:val="28"/>
          <w:szCs w:val="28"/>
        </w:rPr>
        <w:t>18</w:t>
      </w:r>
    </w:p>
    <w:p w14:paraId="2CACD4D7" w14:textId="77777777" w:rsidR="004F0CA1" w:rsidRPr="00175FC8" w:rsidRDefault="004F0CA1" w:rsidP="004F0CA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D6DF7BF" w14:textId="77777777" w:rsidR="004F0CA1" w:rsidRPr="00175FC8" w:rsidRDefault="004F0CA1" w:rsidP="004F0CA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ПОЛОЖЕНИЕ</w:t>
      </w:r>
    </w:p>
    <w:p w14:paraId="7EC64AB3" w14:textId="0BB834ED" w:rsidR="004F0CA1" w:rsidRDefault="004F0CA1" w:rsidP="004F0CA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о Контрольно- ревизионной комиссии</w:t>
      </w:r>
      <w:r w:rsidRPr="00175FC8">
        <w:rPr>
          <w:rFonts w:ascii="PT Astra Serif" w:hAnsi="PT Astra Serif"/>
          <w:color w:val="000000"/>
          <w:sz w:val="28"/>
          <w:szCs w:val="28"/>
        </w:rPr>
        <w:t xml:space="preserve">   Знаменского</w:t>
      </w:r>
      <w:r w:rsidRPr="00175FC8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="0086289E" w:rsidRPr="00175FC8">
        <w:rPr>
          <w:rFonts w:ascii="PT Astra Serif" w:hAnsi="PT Astra Serif"/>
          <w:sz w:val="28"/>
          <w:szCs w:val="28"/>
        </w:rPr>
        <w:t xml:space="preserve"> Тамбовской области</w:t>
      </w:r>
      <w:r w:rsidRPr="00175FC8">
        <w:rPr>
          <w:rFonts w:ascii="PT Astra Serif" w:hAnsi="PT Astra Serif"/>
          <w:sz w:val="28"/>
          <w:szCs w:val="28"/>
        </w:rPr>
        <w:t xml:space="preserve"> </w:t>
      </w:r>
    </w:p>
    <w:p w14:paraId="34D31E32" w14:textId="77777777" w:rsidR="00CD1CBD" w:rsidRPr="00175FC8" w:rsidRDefault="00CD1CBD" w:rsidP="004F0CA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385ED753" w14:textId="215AB998" w:rsidR="004F0CA1" w:rsidRPr="00175FC8" w:rsidRDefault="004F0CA1" w:rsidP="00175F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Настоящее Положение о </w:t>
      </w:r>
      <w:bookmarkStart w:id="0" w:name="_Hlk145324705"/>
      <w:r w:rsidRPr="00175FC8">
        <w:rPr>
          <w:sz w:val="28"/>
          <w:szCs w:val="28"/>
        </w:rPr>
        <w:t>Контрольно-ревизионной комиссии</w:t>
      </w:r>
      <w:r w:rsidRPr="00175FC8">
        <w:rPr>
          <w:rFonts w:ascii="PT Astra Serif" w:hAnsi="PT Astra Serif"/>
          <w:i/>
          <w:color w:val="000000"/>
          <w:sz w:val="28"/>
          <w:szCs w:val="28"/>
        </w:rPr>
        <w:t xml:space="preserve">   </w:t>
      </w:r>
      <w:r w:rsidRPr="00175FC8">
        <w:rPr>
          <w:iCs/>
          <w:color w:val="000000"/>
          <w:sz w:val="28"/>
          <w:szCs w:val="28"/>
        </w:rPr>
        <w:t>Знаменского</w:t>
      </w:r>
      <w:r w:rsidRPr="00175FC8">
        <w:rPr>
          <w:iCs/>
          <w:sz w:val="28"/>
          <w:szCs w:val="28"/>
        </w:rPr>
        <w:t xml:space="preserve"> муниципального округа</w:t>
      </w:r>
      <w:bookmarkEnd w:id="0"/>
      <w:r w:rsidR="0086289E" w:rsidRPr="00175FC8">
        <w:rPr>
          <w:iCs/>
          <w:sz w:val="28"/>
          <w:szCs w:val="28"/>
        </w:rPr>
        <w:t xml:space="preserve"> Тамбовской области</w:t>
      </w:r>
      <w:r w:rsidRPr="00175FC8">
        <w:rPr>
          <w:rFonts w:ascii="PT Astra Serif" w:hAnsi="PT Astra Serif"/>
          <w:i/>
          <w:sz w:val="28"/>
          <w:szCs w:val="28"/>
        </w:rPr>
        <w:t xml:space="preserve"> </w:t>
      </w:r>
      <w:r w:rsidRPr="00175FC8">
        <w:rPr>
          <w:rFonts w:ascii="PT Astra Serif" w:hAnsi="PT Astra Serif"/>
          <w:sz w:val="28"/>
          <w:szCs w:val="28"/>
        </w:rPr>
        <w:t>(далее – Положение)</w:t>
      </w:r>
      <w:r w:rsidRPr="00175FC8">
        <w:rPr>
          <w:rFonts w:ascii="PT Astra Serif" w:hAnsi="PT Astra Serif"/>
          <w:i/>
          <w:sz w:val="28"/>
          <w:szCs w:val="28"/>
        </w:rPr>
        <w:t xml:space="preserve"> </w:t>
      </w:r>
      <w:r w:rsidRPr="00175FC8">
        <w:rPr>
          <w:rFonts w:ascii="PT Astra Serif" w:hAnsi="PT Astra Serif"/>
          <w:sz w:val="28"/>
          <w:szCs w:val="28"/>
        </w:rPr>
        <w:t xml:space="preserve">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Знаменского муниципального округа Тамбовской области и определяет правовой статус, порядок создания и деятельности </w:t>
      </w:r>
      <w:r w:rsidRPr="00175FC8">
        <w:rPr>
          <w:rFonts w:ascii="PT Astra Serif" w:hAnsi="PT Astra Serif"/>
          <w:i/>
          <w:sz w:val="28"/>
          <w:szCs w:val="28"/>
        </w:rPr>
        <w:t xml:space="preserve">  </w:t>
      </w:r>
      <w:r w:rsidRPr="00175FC8">
        <w:rPr>
          <w:sz w:val="28"/>
          <w:szCs w:val="28"/>
        </w:rPr>
        <w:t>Контрольно-ревизионной комиссии</w:t>
      </w:r>
      <w:r w:rsidRPr="00175FC8">
        <w:rPr>
          <w:rFonts w:ascii="PT Astra Serif" w:hAnsi="PT Astra Serif"/>
          <w:i/>
          <w:color w:val="000000"/>
          <w:sz w:val="28"/>
          <w:szCs w:val="28"/>
        </w:rPr>
        <w:t xml:space="preserve">   </w:t>
      </w:r>
      <w:r w:rsidRPr="00175FC8">
        <w:rPr>
          <w:iCs/>
          <w:color w:val="000000"/>
          <w:sz w:val="28"/>
          <w:szCs w:val="28"/>
        </w:rPr>
        <w:t>Знаменского</w:t>
      </w:r>
      <w:r w:rsidRPr="00175FC8">
        <w:rPr>
          <w:iCs/>
          <w:sz w:val="28"/>
          <w:szCs w:val="28"/>
        </w:rPr>
        <w:t xml:space="preserve"> муниципального округа</w:t>
      </w:r>
      <w:r w:rsidR="0086289E" w:rsidRPr="00175FC8">
        <w:rPr>
          <w:iCs/>
          <w:sz w:val="28"/>
          <w:szCs w:val="28"/>
        </w:rPr>
        <w:t xml:space="preserve"> Тамбовской области</w:t>
      </w:r>
      <w:r w:rsidR="00175FC8">
        <w:rPr>
          <w:iCs/>
          <w:sz w:val="28"/>
          <w:szCs w:val="28"/>
        </w:rPr>
        <w:t xml:space="preserve"> </w:t>
      </w:r>
      <w:r w:rsidR="00175FC8" w:rsidRPr="00175FC8">
        <w:rPr>
          <w:rFonts w:ascii="PT Astra Serif" w:hAnsi="PT Astra Serif"/>
          <w:sz w:val="28"/>
          <w:szCs w:val="28"/>
        </w:rPr>
        <w:t>(далее</w:t>
      </w:r>
      <w:r w:rsidR="00175FC8">
        <w:rPr>
          <w:rFonts w:ascii="PT Astra Serif" w:hAnsi="PT Astra Serif"/>
          <w:sz w:val="28"/>
          <w:szCs w:val="28"/>
        </w:rPr>
        <w:t xml:space="preserve"> </w:t>
      </w:r>
      <w:r w:rsidR="00C77681">
        <w:rPr>
          <w:rFonts w:ascii="PT Astra Serif" w:hAnsi="PT Astra Serif"/>
          <w:sz w:val="28"/>
          <w:szCs w:val="28"/>
        </w:rPr>
        <w:t xml:space="preserve">также </w:t>
      </w:r>
      <w:r w:rsidR="00175FC8">
        <w:rPr>
          <w:rFonts w:ascii="PT Astra Serif" w:hAnsi="PT Astra Serif"/>
          <w:sz w:val="28"/>
          <w:szCs w:val="28"/>
        </w:rPr>
        <w:t>по тексту</w:t>
      </w:r>
      <w:r w:rsidR="00175FC8" w:rsidRPr="00175FC8">
        <w:rPr>
          <w:rFonts w:ascii="PT Astra Serif" w:hAnsi="PT Astra Serif"/>
          <w:sz w:val="28"/>
          <w:szCs w:val="28"/>
        </w:rPr>
        <w:t xml:space="preserve"> - КРК)</w:t>
      </w:r>
    </w:p>
    <w:p w14:paraId="297764D8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4647634" w14:textId="7DE18ECB" w:rsidR="004F0CA1" w:rsidRDefault="004F0CA1" w:rsidP="00CD1CBD">
      <w:pPr>
        <w:pStyle w:val="ConsPlusTitle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1. </w:t>
      </w:r>
      <w:r w:rsidRPr="00175FC8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175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FC8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175F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175FC8">
        <w:rPr>
          <w:rFonts w:ascii="Times New Roman" w:hAnsi="Times New Roman" w:cs="Times New Roman"/>
          <w:iCs/>
          <w:color w:val="000000"/>
          <w:sz w:val="28"/>
          <w:szCs w:val="28"/>
        </w:rPr>
        <w:t>Знаменского</w:t>
      </w:r>
      <w:r w:rsidRPr="00175FC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86289E" w:rsidRPr="00175FC8">
        <w:rPr>
          <w:rFonts w:ascii="Times New Roman" w:hAnsi="Times New Roman" w:cs="Times New Roman"/>
          <w:iCs/>
          <w:sz w:val="28"/>
          <w:szCs w:val="28"/>
        </w:rPr>
        <w:t xml:space="preserve"> Тамбовской области</w:t>
      </w:r>
    </w:p>
    <w:p w14:paraId="0B2A0429" w14:textId="01A4C1DF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1. </w:t>
      </w:r>
      <w:r w:rsidRPr="00175FC8">
        <w:rPr>
          <w:sz w:val="28"/>
          <w:szCs w:val="28"/>
        </w:rPr>
        <w:t>Контрольно-ревизионная комиссия</w:t>
      </w:r>
      <w:r w:rsidRPr="00175FC8">
        <w:rPr>
          <w:rFonts w:ascii="PT Astra Serif" w:hAnsi="PT Astra Serif"/>
          <w:i/>
          <w:color w:val="000000"/>
          <w:sz w:val="28"/>
          <w:szCs w:val="28"/>
        </w:rPr>
        <w:t xml:space="preserve">   </w:t>
      </w:r>
      <w:r w:rsidRPr="00175FC8">
        <w:rPr>
          <w:iCs/>
          <w:color w:val="000000"/>
          <w:sz w:val="28"/>
          <w:szCs w:val="28"/>
        </w:rPr>
        <w:t>Знаменского</w:t>
      </w:r>
      <w:r w:rsidRPr="00175FC8">
        <w:rPr>
          <w:iCs/>
          <w:sz w:val="28"/>
          <w:szCs w:val="28"/>
        </w:rPr>
        <w:t xml:space="preserve"> муниципального округа</w:t>
      </w:r>
      <w:r w:rsidR="0086289E" w:rsidRPr="00175FC8">
        <w:rPr>
          <w:iCs/>
          <w:sz w:val="28"/>
          <w:szCs w:val="28"/>
        </w:rPr>
        <w:t xml:space="preserve"> Тамбовской области</w:t>
      </w:r>
      <w:r w:rsidRPr="00175FC8">
        <w:rPr>
          <w:rFonts w:ascii="PT Astra Serif" w:hAnsi="PT Astra Serif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образуется Советом депутатов </w:t>
      </w:r>
      <w:bookmarkStart w:id="1" w:name="_Hlk144907331"/>
      <w:r w:rsidRPr="00175FC8">
        <w:rPr>
          <w:rFonts w:ascii="PT Astra Serif" w:hAnsi="PT Astra Serif"/>
          <w:sz w:val="28"/>
          <w:szCs w:val="28"/>
        </w:rPr>
        <w:t>Знаменского</w:t>
      </w:r>
      <w:bookmarkEnd w:id="1"/>
      <w:r w:rsidRPr="00175FC8">
        <w:rPr>
          <w:rFonts w:ascii="PT Astra Serif" w:hAnsi="PT Astra Serif"/>
          <w:sz w:val="28"/>
          <w:szCs w:val="28"/>
        </w:rPr>
        <w:t xml:space="preserve"> муниципального округа Тамбовской области (далее – Совет депутатов) и ему подотчетна.</w:t>
      </w:r>
    </w:p>
    <w:p w14:paraId="65EE457A" w14:textId="77777777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КРК обладает организационной и функциональной независимостью и осуществляет свою деятельность самостоятельно.</w:t>
      </w:r>
    </w:p>
    <w:p w14:paraId="00EC3616" w14:textId="77777777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Деятельность КРК не может быть приостановлена, в том числе в связи с истечением срока или досрочного прекращения полномочий Совета депутатов.</w:t>
      </w:r>
    </w:p>
    <w:p w14:paraId="00E39887" w14:textId="77777777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КРК входит в структуру органов местного самоуправления Знаменского муниципального округа Тамбовской области (далее – муниципальный округ).</w:t>
      </w:r>
    </w:p>
    <w:p w14:paraId="3CB49889" w14:textId="77777777" w:rsid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КРК обладает правами юридического лица, имеет гербовую печать и бланки со своим наименованием и с изображением герба </w:t>
      </w:r>
      <w:proofErr w:type="gramStart"/>
      <w:r w:rsidRPr="00175FC8">
        <w:rPr>
          <w:rFonts w:ascii="PT Astra Serif" w:hAnsi="PT Astra Serif"/>
          <w:sz w:val="28"/>
          <w:szCs w:val="28"/>
        </w:rPr>
        <w:t>Знаменского  муниципального</w:t>
      </w:r>
      <w:proofErr w:type="gramEnd"/>
      <w:r w:rsidRPr="00175FC8">
        <w:rPr>
          <w:rFonts w:ascii="PT Astra Serif" w:hAnsi="PT Astra Serif"/>
          <w:sz w:val="28"/>
          <w:szCs w:val="28"/>
        </w:rPr>
        <w:t xml:space="preserve"> округа</w:t>
      </w:r>
      <w:r w:rsidR="0070783B" w:rsidRPr="00175FC8">
        <w:rPr>
          <w:rFonts w:ascii="PT Astra Serif" w:hAnsi="PT Astra Serif"/>
          <w:sz w:val="28"/>
          <w:szCs w:val="28"/>
        </w:rPr>
        <w:t xml:space="preserve"> Тамбовской области</w:t>
      </w:r>
      <w:r w:rsidRPr="00175FC8">
        <w:rPr>
          <w:rFonts w:ascii="PT Astra Serif" w:hAnsi="PT Astra Serif"/>
          <w:sz w:val="28"/>
          <w:szCs w:val="28"/>
        </w:rPr>
        <w:t>.</w:t>
      </w:r>
    </w:p>
    <w:p w14:paraId="7A2D86CE" w14:textId="42FF7936" w:rsidR="004F0CA1" w:rsidRPr="00175FC8" w:rsidRDefault="00175FC8" w:rsidP="004F0CA1">
      <w:pPr>
        <w:pStyle w:val="ConsPlusNormal"/>
        <w:ind w:firstLine="54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Полное наименование - </w:t>
      </w:r>
      <w:r w:rsidR="004F0CA1" w:rsidRPr="00175FC8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Контрольно-ревизионная комиссия</w:t>
      </w:r>
      <w:r w:rsidRPr="00175FC8">
        <w:rPr>
          <w:rFonts w:ascii="PT Astra Serif" w:hAnsi="PT Astra Serif"/>
          <w:i/>
          <w:color w:val="000000"/>
          <w:sz w:val="28"/>
          <w:szCs w:val="28"/>
        </w:rPr>
        <w:t xml:space="preserve">   </w:t>
      </w:r>
      <w:r w:rsidRPr="00175FC8">
        <w:rPr>
          <w:iCs/>
          <w:color w:val="000000"/>
          <w:sz w:val="28"/>
          <w:szCs w:val="28"/>
        </w:rPr>
        <w:t>Знаменского</w:t>
      </w:r>
      <w:r w:rsidRPr="00175FC8">
        <w:rPr>
          <w:iCs/>
          <w:sz w:val="28"/>
          <w:szCs w:val="28"/>
        </w:rPr>
        <w:t xml:space="preserve"> муниципального округа Тамбовской области</w:t>
      </w:r>
      <w:r>
        <w:rPr>
          <w:iCs/>
          <w:sz w:val="28"/>
          <w:szCs w:val="28"/>
        </w:rPr>
        <w:t xml:space="preserve">, </w:t>
      </w:r>
      <w:r w:rsidR="00C77681">
        <w:rPr>
          <w:iCs/>
          <w:sz w:val="28"/>
          <w:szCs w:val="28"/>
        </w:rPr>
        <w:t xml:space="preserve">сокращённое </w:t>
      </w:r>
      <w:proofErr w:type="gramStart"/>
      <w:r w:rsidR="004F0CA1" w:rsidRPr="00175FC8">
        <w:rPr>
          <w:rFonts w:ascii="PT Astra Serif" w:hAnsi="PT Astra Serif"/>
          <w:sz w:val="28"/>
          <w:szCs w:val="28"/>
        </w:rPr>
        <w:t xml:space="preserve">наименование  </w:t>
      </w:r>
      <w:r w:rsidR="00C77681">
        <w:rPr>
          <w:rFonts w:ascii="PT Astra Serif" w:hAnsi="PT Astra Serif"/>
          <w:sz w:val="28"/>
          <w:szCs w:val="28"/>
        </w:rPr>
        <w:t>-</w:t>
      </w:r>
      <w:proofErr w:type="gramEnd"/>
      <w:r w:rsidR="00C77681">
        <w:rPr>
          <w:rFonts w:ascii="PT Astra Serif" w:hAnsi="PT Astra Serif"/>
          <w:sz w:val="28"/>
          <w:szCs w:val="28"/>
        </w:rPr>
        <w:t xml:space="preserve"> Контрольно-ревизионная комиссия </w:t>
      </w:r>
      <w:r w:rsidR="004F0CA1" w:rsidRPr="00175FC8">
        <w:rPr>
          <w:iCs/>
          <w:sz w:val="28"/>
          <w:szCs w:val="28"/>
        </w:rPr>
        <w:t>муниципального округа</w:t>
      </w:r>
      <w:r w:rsidR="00D608C3">
        <w:rPr>
          <w:iCs/>
          <w:sz w:val="28"/>
          <w:szCs w:val="28"/>
        </w:rPr>
        <w:t>.</w:t>
      </w:r>
    </w:p>
    <w:p w14:paraId="7FD3153D" w14:textId="3F535980" w:rsidR="004F0CA1" w:rsidRPr="00175FC8" w:rsidRDefault="004F0CA1" w:rsidP="00D608C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Юридический адрес КРК</w:t>
      </w:r>
      <w:r w:rsidRPr="00175FC8">
        <w:rPr>
          <w:sz w:val="28"/>
          <w:szCs w:val="28"/>
        </w:rPr>
        <w:t>: Тамбовская область, Знаменский муниципальный округ, рабочий поселок Знаменка, улица Красная площадь, дом 3.</w:t>
      </w:r>
    </w:p>
    <w:p w14:paraId="5FE2CCC7" w14:textId="77777777" w:rsidR="004F0CA1" w:rsidRPr="00175FC8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1AD6E5CE" w14:textId="19CB4E33" w:rsidR="004F0CA1" w:rsidRPr="00175FC8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2. Правовые основы деятельности К</w:t>
      </w:r>
      <w:r w:rsidR="0070783B" w:rsidRPr="00175FC8">
        <w:rPr>
          <w:rFonts w:ascii="PT Astra Serif" w:hAnsi="PT Astra Serif"/>
          <w:sz w:val="28"/>
          <w:szCs w:val="28"/>
        </w:rPr>
        <w:t>РК</w:t>
      </w:r>
    </w:p>
    <w:p w14:paraId="303E3477" w14:textId="77777777" w:rsidR="00CD1CBD" w:rsidRPr="00CD1CBD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10"/>
          <w:szCs w:val="10"/>
        </w:rPr>
      </w:pPr>
      <w:r w:rsidRPr="00CD1CBD">
        <w:rPr>
          <w:rFonts w:ascii="PT Astra Serif" w:hAnsi="PT Astra Serif"/>
          <w:sz w:val="10"/>
          <w:szCs w:val="10"/>
        </w:rPr>
        <w:t xml:space="preserve"> </w:t>
      </w:r>
    </w:p>
    <w:p w14:paraId="0A829646" w14:textId="223A438D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КРК осуществляет свою деятельность на основе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 и иных нормативных правовых актов Российской Федерации, муниципальных нормативных правовых актов. В случаях и порядке, установленных федеральными законами, правовое регулирование организации и деятельности КРК осуществляется также законами Тамбовской области.</w:t>
      </w:r>
    </w:p>
    <w:p w14:paraId="7A408693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877B36F" w14:textId="3AB90E29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3. Принципы деятельности КРК</w:t>
      </w:r>
    </w:p>
    <w:p w14:paraId="68611A5A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7496537B" w14:textId="0D9CFA80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Деятельность К</w:t>
      </w:r>
      <w:r w:rsidR="004623A5" w:rsidRPr="00175FC8">
        <w:rPr>
          <w:rFonts w:ascii="PT Astra Serif" w:hAnsi="PT Astra Serif"/>
          <w:sz w:val="28"/>
          <w:szCs w:val="28"/>
        </w:rPr>
        <w:t>РК</w:t>
      </w:r>
      <w:r w:rsidRPr="00175FC8">
        <w:rPr>
          <w:rFonts w:ascii="PT Astra Serif" w:hAnsi="PT Astra Serif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14:paraId="460D9D87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3612A06" w14:textId="703CD844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4. Состав КРК </w:t>
      </w:r>
    </w:p>
    <w:p w14:paraId="6941A648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3E51DF9B" w14:textId="156EC1E3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1. </w:t>
      </w:r>
      <w:r w:rsidR="004623A5" w:rsidRPr="00175FC8">
        <w:rPr>
          <w:rFonts w:ascii="PT Astra Serif" w:hAnsi="PT Astra Serif"/>
          <w:sz w:val="28"/>
          <w:szCs w:val="28"/>
        </w:rPr>
        <w:t>КРК</w:t>
      </w:r>
      <w:r w:rsidRPr="00175FC8">
        <w:rPr>
          <w:rFonts w:ascii="PT Astra Serif" w:hAnsi="PT Astra Serif"/>
          <w:sz w:val="28"/>
          <w:szCs w:val="28"/>
        </w:rPr>
        <w:t xml:space="preserve"> образуется в составе председателя и инспектора КРК.</w:t>
      </w:r>
    </w:p>
    <w:p w14:paraId="65FC21DC" w14:textId="1B9A4C55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2.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Должность председателя относится к муниципальным должностям.</w:t>
      </w:r>
    </w:p>
    <w:p w14:paraId="14ABEBFC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3.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Срок полномочий председателя КРК составляет 6 лет.</w:t>
      </w:r>
    </w:p>
    <w:p w14:paraId="2288EE14" w14:textId="07712B64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</w:t>
      </w:r>
      <w:r w:rsidR="00CD1CBD">
        <w:rPr>
          <w:rFonts w:ascii="PT Astra Serif" w:hAnsi="PT Astra Serif"/>
          <w:b/>
          <w:bCs/>
          <w:i/>
          <w:color w:val="000000"/>
          <w:sz w:val="28"/>
          <w:szCs w:val="28"/>
        </w:rPr>
        <w:t xml:space="preserve">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Входящий в состав КРК инспектор замещает должность муниципальной службы.</w:t>
      </w:r>
    </w:p>
    <w:p w14:paraId="7A222C56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На инспектора   КРК возлагаются обязанности по организации и непосредственному проведению внешнего муниципального финансового контроля.</w:t>
      </w:r>
    </w:p>
    <w:p w14:paraId="0C0BCC7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6. Права, обязанности и ответственность работников КРК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Положением.</w:t>
      </w:r>
    </w:p>
    <w:p w14:paraId="3BB0AAF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7. Структура КРК утверждается Советом депутатов по представлению председателя КРК.</w:t>
      </w:r>
    </w:p>
    <w:p w14:paraId="039B40C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8. Штатная численность КРК устанавливается решением Совета депутатов по представлению председателя КРК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 и не может быть менее двух единиц.</w:t>
      </w:r>
    </w:p>
    <w:p w14:paraId="7611394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9. Штатное расписание КРК утверждается председателем КРК, исходя из возложенных на КРК полномочий.</w:t>
      </w:r>
    </w:p>
    <w:p w14:paraId="0DD060D2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E1F18F5" w14:textId="096F2AC7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lastRenderedPageBreak/>
        <w:t>Статья 5. Порядок рассмотрения кандидатуры и назначения на должность председателя КРК.</w:t>
      </w:r>
    </w:p>
    <w:p w14:paraId="08C8DC3A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43894A85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Председатель КРК назначается на должность и освобождается от должности решением Совета депутатов.</w:t>
      </w:r>
    </w:p>
    <w:p w14:paraId="04FCBA1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Par87"/>
      <w:bookmarkEnd w:id="2"/>
      <w:r w:rsidRPr="00175FC8">
        <w:rPr>
          <w:rFonts w:ascii="PT Astra Serif" w:hAnsi="PT Astra Serif"/>
          <w:sz w:val="28"/>
          <w:szCs w:val="28"/>
        </w:rPr>
        <w:t>2. Предложения о кандидатурах председателя КРК вносятся в Совет депутатов:</w:t>
      </w:r>
    </w:p>
    <w:p w14:paraId="6E7CD6A7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председателем Совета депутатов;</w:t>
      </w:r>
    </w:p>
    <w:p w14:paraId="4643C8F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депутатов;</w:t>
      </w:r>
    </w:p>
    <w:p w14:paraId="318289B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главой Знаменского муниципального округа Тамбовской области.</w:t>
      </w:r>
    </w:p>
    <w:p w14:paraId="77EA42B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Предложения о кандидатурах на должность председателя КРК представляются в Совет депутатов, не позднее чем за месяц до истечения полномочий действующего председателя КРК, а в случае досрочного прекращения полномочий - не позднее одного месяца со дня прекращения полномочий председателя КРК.</w:t>
      </w:r>
    </w:p>
    <w:p w14:paraId="710D5AE3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Предложения о кандидатурах на должность должны содержать информацию о кандидате (фамилия, имя, отчество, год рождения, место работы и занимаемая должность, место жительства кандидата).</w:t>
      </w:r>
    </w:p>
    <w:p w14:paraId="2864A78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К предложению о кандидатуре на должность председателя КРК прилагаются:</w:t>
      </w:r>
    </w:p>
    <w:p w14:paraId="387BE9FE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заявление кандидата о согласии на рассмотрение его кандидатуры и назначении на должность председателя КРК;</w:t>
      </w:r>
    </w:p>
    <w:p w14:paraId="04CC8A1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копия паспорта кандидата или заменяющего его документа;</w:t>
      </w:r>
    </w:p>
    <w:p w14:paraId="35DA85D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автобиография кандидата;</w:t>
      </w:r>
    </w:p>
    <w:p w14:paraId="1B4E9CF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копии документов, подтверждающих наличие высшего образования кандидата;</w:t>
      </w:r>
    </w:p>
    <w:p w14:paraId="31E8B195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5) копия трудовой книжки кандидата либо иные документы, подтверждающие трудовую (служебную) деятельность и квалификацию кандидата;</w:t>
      </w:r>
    </w:p>
    <w:p w14:paraId="46F172A7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6) сведения о доходах, о расходах, об имуществе и обязательствах имущественного характера кандидата, его супруги (супруга) и несовершеннолетних детей;</w:t>
      </w:r>
    </w:p>
    <w:p w14:paraId="37C83C1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7) сведения об адресах сайтов и (или) страниц сайтов в информационно-телекоммуникационной сети «Интернет», на которых кандидат, размещал общедоступную информацию, а также данные, позволяющие его идентифицировать  за три календарных года, предшествующих году представления предложения;</w:t>
      </w:r>
    </w:p>
    <w:p w14:paraId="17B747BB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8) согласие на обработку персональных данных в </w:t>
      </w:r>
      <w:proofErr w:type="gramStart"/>
      <w:r w:rsidRPr="00175FC8">
        <w:rPr>
          <w:rFonts w:ascii="PT Astra Serif" w:hAnsi="PT Astra Serif"/>
          <w:sz w:val="28"/>
          <w:szCs w:val="28"/>
        </w:rPr>
        <w:t>соответствии  с</w:t>
      </w:r>
      <w:proofErr w:type="gramEnd"/>
      <w:r w:rsidRPr="00175FC8">
        <w:rPr>
          <w:rFonts w:ascii="PT Astra Serif" w:hAnsi="PT Astra Serif"/>
          <w:sz w:val="28"/>
          <w:szCs w:val="28"/>
        </w:rPr>
        <w:t xml:space="preserve"> Федеральным законом от 27.07.2006 № 152-ФЗ «О персональных данных»;</w:t>
      </w:r>
    </w:p>
    <w:p w14:paraId="6D479BE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9) характеристика с прежнего места работы и рекомендательные документы (при наличии).</w:t>
      </w:r>
    </w:p>
    <w:p w14:paraId="6F361935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Несвоевременное или неполное представление документов в определенные настоящей статьей сроки является основанием для отказа в рассмотрении предложения.</w:t>
      </w:r>
    </w:p>
    <w:p w14:paraId="0971E9FD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lastRenderedPageBreak/>
        <w:t>6. Председатель Совета депутатов включает вопрос о кандидатуре (ах) на должность председателя КРК в повестку дня заседания Совета депутатов, ближайшего ко дню истечения срока полномочий действующего председателя КРК.</w:t>
      </w:r>
    </w:p>
    <w:p w14:paraId="722A3964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7. Совет депутатов рассматривает вопрос о назначении на должность председателя КРК при личном присутствии кандидатов на соответствующую должность. </w:t>
      </w:r>
    </w:p>
    <w:p w14:paraId="58E8B128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При рассмотрении на заседании Совета депутатов вопроса о назначении на должность председателя КРК заслушиваются субъекты, внесшие предложения о кандидатурах.</w:t>
      </w:r>
    </w:p>
    <w:p w14:paraId="71E120D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8. По представленным кандидатурам на должность председателя КРК голосование проводится по каждой кандидатуре отдельно. В случае если кандидат заявил самоотвод, обсуждение и голосование по его кандидатуре не проводятся.</w:t>
      </w:r>
    </w:p>
    <w:p w14:paraId="64B706F1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9. Решения о назначении на должности председателя КРК принимаются открытым голосованием большинством голосов от установленного числа депутатов Совета депутатов. </w:t>
      </w:r>
    </w:p>
    <w:p w14:paraId="5C92362C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10. В случае, если ни одна из кандидатур, предложенных на должность председателя, не получила требуемого для назначения количества голосов, процедура назначения повторяется с момента внесения предложений о кандидатурах</w:t>
      </w:r>
    </w:p>
    <w:p w14:paraId="70352207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11. Вопрос о досрочном освобождении от должности председателя КРК решается большинством голосов от установленного числа депутатов и оформляется решением Совета депутатов.</w:t>
      </w:r>
    </w:p>
    <w:p w14:paraId="416763E6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 В случае досрочного освобождения от должности председателя КРК Совет депутатов рассматривает вопрос о назначении на должность председателя КРК в двухмесячный срок со дня принятия соответствующего решения в порядке, установленном настоящей статьей.</w:t>
      </w:r>
    </w:p>
    <w:p w14:paraId="3670440C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12. Совет депутатов вправе обратиться в Контрольно-счетную палату Тамбовской области за заключением о соответствии кандидатуры на должность председателя КРК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5F57ECD3" w14:textId="00F1A32E" w:rsidR="00FA7201" w:rsidRPr="00CD1CBD" w:rsidRDefault="004F0CA1" w:rsidP="00D608C3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i/>
          <w:sz w:val="20"/>
          <w:szCs w:val="20"/>
        </w:rPr>
      </w:pPr>
      <w:r w:rsidRPr="00CD1CBD">
        <w:rPr>
          <w:rFonts w:ascii="PT Astra Serif" w:hAnsi="PT Astra Serif"/>
          <w:i/>
          <w:sz w:val="20"/>
          <w:szCs w:val="20"/>
        </w:rPr>
        <w:t xml:space="preserve"> </w:t>
      </w:r>
    </w:p>
    <w:p w14:paraId="46E261D0" w14:textId="73E7CBB6" w:rsidR="004F0CA1" w:rsidRDefault="004F0CA1" w:rsidP="00CD1CBD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6. Требования к кандидатурам на должность председателя КРК </w:t>
      </w:r>
    </w:p>
    <w:p w14:paraId="1E7EEE8B" w14:textId="77777777" w:rsidR="00CD1CBD" w:rsidRPr="00CD1CBD" w:rsidRDefault="00CD1CBD" w:rsidP="00CD1CBD">
      <w:pPr>
        <w:pStyle w:val="ConsPlusTitle"/>
        <w:jc w:val="both"/>
        <w:rPr>
          <w:rFonts w:ascii="PT Astra Serif" w:hAnsi="PT Astra Serif"/>
          <w:sz w:val="10"/>
          <w:szCs w:val="10"/>
        </w:rPr>
      </w:pPr>
    </w:p>
    <w:p w14:paraId="2AF9BDAE" w14:textId="77777777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На должность председателя КРК назначается гражданин Российской Федерации, соответствующий следующим квалификационным требованиям:</w:t>
      </w:r>
    </w:p>
    <w:p w14:paraId="49EE7515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наличие высшего образования;</w:t>
      </w:r>
    </w:p>
    <w:p w14:paraId="5C0E7B4C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лет;</w:t>
      </w:r>
    </w:p>
    <w:p w14:paraId="329CF631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</w:t>
      </w:r>
      <w:r w:rsidRPr="00175FC8">
        <w:rPr>
          <w:rFonts w:ascii="PT Astra Serif" w:hAnsi="PT Astra Serif"/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(Основного закона) Тамбовской области Российской Федерации, законов Тамбовской области и иных нормативных правовых актов, Устава  Знаменского муниципального округа Тамбовской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4A9D78A3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bookmarkStart w:id="3" w:name="Par123"/>
      <w:bookmarkEnd w:id="3"/>
      <w:r w:rsidRPr="00175FC8">
        <w:rPr>
          <w:rFonts w:ascii="PT Astra Serif" w:hAnsi="PT Astra Serif"/>
          <w:sz w:val="28"/>
          <w:szCs w:val="28"/>
        </w:rPr>
        <w:t>2. Гражданин Российской Федерации не может быть назначен на должность председателя КРК в случае:</w:t>
      </w:r>
    </w:p>
    <w:p w14:paraId="1629DFF5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наличия у него неснятой или непогашенной судимости;</w:t>
      </w:r>
    </w:p>
    <w:p w14:paraId="5F816C34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0320FB8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35F494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98C238F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5) наличия оснований, предусмотренных частью 3</w:t>
      </w:r>
      <w:r w:rsidRPr="00175FC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75FC8">
        <w:rPr>
          <w:rFonts w:ascii="PT Astra Serif" w:hAnsi="PT Astra Serif"/>
          <w:sz w:val="28"/>
          <w:szCs w:val="28"/>
        </w:rPr>
        <w:t>настоящей статьи.</w:t>
      </w:r>
    </w:p>
    <w:p w14:paraId="303CF6D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bookmarkStart w:id="4" w:name="Par129"/>
      <w:bookmarkEnd w:id="4"/>
      <w:r w:rsidRPr="00175FC8">
        <w:rPr>
          <w:rFonts w:ascii="PT Astra Serif" w:hAnsi="PT Astra Serif"/>
          <w:sz w:val="28"/>
          <w:szCs w:val="28"/>
        </w:rPr>
        <w:t>3. Гражданин, замещающий должность председателя КРК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депутатов, главой муниципального округа, руководителями судебных и правоохранительных органов, расположенных на территории муниципального округа.</w:t>
      </w:r>
    </w:p>
    <w:p w14:paraId="2DD6AAC4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Председатель КРК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1F61E311" w14:textId="0B865A63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Председатель КРК,</w:t>
      </w:r>
      <w:r w:rsidR="00D608C3">
        <w:rPr>
          <w:rFonts w:ascii="PT Astra Serif" w:hAnsi="PT Astra Serif"/>
          <w:sz w:val="28"/>
          <w:szCs w:val="28"/>
        </w:rPr>
        <w:t xml:space="preserve"> </w:t>
      </w:r>
      <w:r w:rsidRPr="00175FC8">
        <w:rPr>
          <w:rFonts w:ascii="PT Astra Serif" w:hAnsi="PT Astra Serif"/>
          <w:sz w:val="28"/>
          <w:szCs w:val="28"/>
        </w:rPr>
        <w:t xml:space="preserve">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Тамбовской </w:t>
      </w:r>
      <w:r w:rsidRPr="00175FC8">
        <w:rPr>
          <w:rFonts w:ascii="PT Astra Serif" w:hAnsi="PT Astra Serif"/>
          <w:sz w:val="28"/>
          <w:szCs w:val="28"/>
        </w:rPr>
        <w:lastRenderedPageBreak/>
        <w:t>области, муниципальными нормативными правовыми актами.</w:t>
      </w:r>
    </w:p>
    <w:p w14:paraId="0950D00E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6. На председателя КРК распространяются ограничения, обязанности и запреты, установленные Федеральным законом от 25.12.2008 № 273-ФЗ «О противодействии коррупции».</w:t>
      </w:r>
    </w:p>
    <w:p w14:paraId="7C4A6A7F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DE479EE" w14:textId="069213DB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7. Гарантии статуса должностных лиц КРК </w:t>
      </w:r>
    </w:p>
    <w:p w14:paraId="2D10655E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4C13D020" w14:textId="77777777" w:rsidR="004F0CA1" w:rsidRPr="00175FC8" w:rsidRDefault="004F0CA1" w:rsidP="004F0CA1">
      <w:pPr>
        <w:pStyle w:val="ConsPlusTitle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Pr="00175FC8">
        <w:rPr>
          <w:rFonts w:ascii="PT Astra Serif" w:hAnsi="PT Astra Serif"/>
          <w:b w:val="0"/>
          <w:sz w:val="28"/>
          <w:szCs w:val="28"/>
        </w:rPr>
        <w:t>Председатель  и</w:t>
      </w:r>
      <w:proofErr w:type="gramEnd"/>
      <w:r w:rsidRPr="00175FC8">
        <w:rPr>
          <w:rFonts w:ascii="PT Astra Serif" w:hAnsi="PT Astra Serif"/>
          <w:b w:val="0"/>
          <w:sz w:val="28"/>
          <w:szCs w:val="28"/>
        </w:rPr>
        <w:t xml:space="preserve"> инспектор КРК являются должностными лицами КРК.</w:t>
      </w:r>
    </w:p>
    <w:p w14:paraId="2F244AE5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5" w:name="Par137"/>
      <w:bookmarkEnd w:id="5"/>
      <w:r w:rsidRPr="00175FC8">
        <w:rPr>
          <w:rFonts w:ascii="PT Astra Serif" w:hAnsi="PT Astra Serif"/>
          <w:sz w:val="28"/>
          <w:szCs w:val="28"/>
        </w:rPr>
        <w:t>2. Воздействие в какой-либо форме на должностных лиц КРК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КРК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Тамбовской области.</w:t>
      </w:r>
    </w:p>
    <w:p w14:paraId="1E5A02E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Должностные лица КРК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7E2EAF0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bookmarkStart w:id="6" w:name="Par139"/>
      <w:bookmarkEnd w:id="6"/>
      <w:r w:rsidRPr="00175FC8">
        <w:rPr>
          <w:rFonts w:ascii="PT Astra Serif" w:hAnsi="PT Astra Serif"/>
          <w:sz w:val="28"/>
          <w:szCs w:val="28"/>
        </w:rPr>
        <w:t>4. Должностные лица КРК обладают гарантиями профессиональной независимости.</w:t>
      </w:r>
    </w:p>
    <w:p w14:paraId="5FFDD8E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Должностное лицо КРК досрочно освобождается от должности на основании решения Совета депутатов в случае:</w:t>
      </w:r>
    </w:p>
    <w:p w14:paraId="2877718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вступления в законную силу обвинительного приговора суда в отношении него;</w:t>
      </w:r>
    </w:p>
    <w:p w14:paraId="094B572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2A5B70D3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104199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подачи письменного заявления об отставке;</w:t>
      </w:r>
    </w:p>
    <w:p w14:paraId="6556352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депутатов;</w:t>
      </w:r>
    </w:p>
    <w:p w14:paraId="37430D9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14:paraId="226C1DB6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7) выявления обстоятельств, предусмотренных частями 2</w:t>
      </w:r>
      <w:r w:rsidRPr="00175FC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175FC8">
        <w:rPr>
          <w:rFonts w:ascii="PT Astra Serif" w:hAnsi="PT Astra Serif"/>
          <w:sz w:val="28"/>
          <w:szCs w:val="28"/>
        </w:rPr>
        <w:t>3 статьи 6 настоящего Положения;</w:t>
      </w:r>
    </w:p>
    <w:p w14:paraId="28BCA523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</w:t>
      </w:r>
      <w:r w:rsidRPr="00175FC8">
        <w:rPr>
          <w:rFonts w:ascii="PT Astra Serif" w:hAnsi="PT Astra Serif"/>
          <w:sz w:val="28"/>
          <w:szCs w:val="28"/>
        </w:rPr>
        <w:lastRenderedPageBreak/>
        <w:t>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6817F74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6. Должностное лицо КРК,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 </w:t>
      </w:r>
    </w:p>
    <w:p w14:paraId="7A75FDCF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B96F60C" w14:textId="690D9273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8. Полномочия КРК </w:t>
      </w:r>
    </w:p>
    <w:p w14:paraId="48B834AC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3F41D777" w14:textId="001B0BFB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7" w:name="Par154"/>
      <w:bookmarkEnd w:id="7"/>
      <w:r w:rsidRPr="00175FC8">
        <w:rPr>
          <w:rFonts w:ascii="PT Astra Serif" w:hAnsi="PT Astra Serif"/>
          <w:sz w:val="28"/>
          <w:szCs w:val="28"/>
        </w:rPr>
        <w:t>1. К</w:t>
      </w:r>
      <w:r w:rsidR="004623A5" w:rsidRPr="00175FC8">
        <w:rPr>
          <w:rFonts w:ascii="PT Astra Serif" w:hAnsi="PT Astra Serif"/>
          <w:sz w:val="28"/>
          <w:szCs w:val="28"/>
        </w:rPr>
        <w:t>РК</w:t>
      </w:r>
      <w:r w:rsidRPr="00175FC8">
        <w:rPr>
          <w:rFonts w:ascii="PT Astra Serif" w:hAnsi="PT Astra Serif"/>
          <w:sz w:val="28"/>
          <w:szCs w:val="28"/>
        </w:rPr>
        <w:t xml:space="preserve"> осуществляет следующие основные полномочия:</w:t>
      </w:r>
    </w:p>
    <w:p w14:paraId="5BF3BA2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округа, а также иных средств в случаях, предусмотренных законодательством Российской Федерации;</w:t>
      </w:r>
    </w:p>
    <w:p w14:paraId="303A81A1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экспертиза проектов бюджета муниципального округа, проверка и анализ обоснованности его показателей;</w:t>
      </w:r>
    </w:p>
    <w:p w14:paraId="4F8BCE2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внешняя проверка годового отчета об исполнении бюджета муниципального округа;</w:t>
      </w:r>
    </w:p>
    <w:p w14:paraId="4171D2F7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6B72B2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BFFD78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20FB4343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7) экспертиза проектов муниципальных правовых актов в части, </w:t>
      </w:r>
      <w:r w:rsidRPr="00175FC8">
        <w:rPr>
          <w:rFonts w:ascii="PT Astra Serif" w:hAnsi="PT Astra Serif"/>
          <w:sz w:val="28"/>
          <w:szCs w:val="28"/>
        </w:rPr>
        <w:lastRenderedPageBreak/>
        <w:t>касающейся расходных обязательств муниципального округа, экспертиза проектов муниципальных правовых актов, приводящих к изменению доходов бюджета муниципального округа, а также муниципальных программ (проектов муниципальных программ);</w:t>
      </w:r>
    </w:p>
    <w:p w14:paraId="62501B42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6329C7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9) проведение оперативного анализа исполнения и контроля за организацией исполнения бюджета муниципального округа в текущем финансовом году, ежеквартальное представление информации о ходе исполнения бюджета муниципального округа, о результатах проведенных контрольных и экспертно-аналитических мероприятий в Совете депутатов и главе муниципального округа;</w:t>
      </w:r>
    </w:p>
    <w:p w14:paraId="4EA9C491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61E6DD1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КРК муниципального округа;</w:t>
      </w:r>
    </w:p>
    <w:p w14:paraId="70BDBE0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3A313073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Тамбовской области, Уставом Знаменского муниципального округа Тамбовской области и нормативными правовыми актами Совета депутатов.</w:t>
      </w:r>
    </w:p>
    <w:p w14:paraId="0C1C6DF1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Внешний муниципальный финансовый контроль осуществляется КРК:</w:t>
      </w:r>
    </w:p>
    <w:p w14:paraId="39B278F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в отношении органов местного самоуправления и муниципальных органов муниципального округа, муниципальных учреждений и предприятий, а также иных организаций, если они используют имущество, находящееся в муниципальной собственности муниципального округа;</w:t>
      </w:r>
    </w:p>
    <w:p w14:paraId="0ED6667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5226479C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1961E17" w14:textId="5DC97DBA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9. Формы осуществления КРК внешнего муниципального финансового контроля</w:t>
      </w:r>
    </w:p>
    <w:p w14:paraId="15E94135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6CA543DD" w14:textId="2AEA0533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Внешний муниципальный финансовый контроль осуществляется К</w:t>
      </w:r>
      <w:r w:rsidR="004623A5" w:rsidRPr="00175FC8">
        <w:rPr>
          <w:rFonts w:ascii="PT Astra Serif" w:hAnsi="PT Astra Serif"/>
          <w:sz w:val="28"/>
          <w:szCs w:val="28"/>
        </w:rPr>
        <w:t>РК</w:t>
      </w:r>
      <w:r w:rsidRPr="00175FC8">
        <w:rPr>
          <w:rFonts w:ascii="PT Astra Serif" w:hAnsi="PT Astra Serif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1B2971A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При проведении контрольного мероприятия КРК составляется соответствующий акт (акты), который доводится до сведения руководителей проверяемых органов и организаций. На основании акта (актов) КРК составляется отчет.</w:t>
      </w:r>
    </w:p>
    <w:p w14:paraId="1FFA74A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3. При проведении экспертно-аналитического мероприятия КРК </w:t>
      </w:r>
      <w:r w:rsidRPr="00175FC8">
        <w:rPr>
          <w:rFonts w:ascii="PT Astra Serif" w:hAnsi="PT Astra Serif"/>
          <w:sz w:val="28"/>
          <w:szCs w:val="28"/>
        </w:rPr>
        <w:lastRenderedPageBreak/>
        <w:t>составляет отчет или заключение.</w:t>
      </w:r>
    </w:p>
    <w:p w14:paraId="665AFC98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B9934B3" w14:textId="307752AA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10. Стандарты внешнего муниципального финансового контроля</w:t>
      </w:r>
    </w:p>
    <w:p w14:paraId="6CAB1760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209C3180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КРК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Уставом (Основным Законом) Тамбовской области Российской Федерации, законодательством Тамбовской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14:paraId="2323C994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КРК в соответствии с общими требованиями, утвержденными Счетной палатой Российской Федерации.</w:t>
      </w:r>
    </w:p>
    <w:p w14:paraId="2EF8F09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F32585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Тамбовской области.</w:t>
      </w:r>
    </w:p>
    <w:p w14:paraId="69742E76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92766CB" w14:textId="7AACB2FC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11. Планирование деятельности КРК </w:t>
      </w:r>
    </w:p>
    <w:p w14:paraId="4E5B6A27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6622B57D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КРК осуществляет свою деятельность на основе планов, которые разрабатываются и утверждаются им самостоятельно.</w:t>
      </w:r>
    </w:p>
    <w:p w14:paraId="5C99799D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План работы КРК утверждается в срок до 30 декабря года, предшествующего планируемому.</w:t>
      </w:r>
    </w:p>
    <w:p w14:paraId="06DB69E2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Планирование деятельности КРК осуществляется с учетом результатов контрольных и экспертно-аналитических мероприятий, поручений Совета депутатов, предложений главы муниципального округа.</w:t>
      </w:r>
    </w:p>
    <w:p w14:paraId="2A79C18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trike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4.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Внеплановые контрольные мероприятия, а также изменения в план работы КРК проводятся на основании решений Совета депутатов.</w:t>
      </w:r>
    </w:p>
    <w:p w14:paraId="1C01CA8F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BC48F1E" w14:textId="240436B5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12. Регламент КРК </w:t>
      </w:r>
    </w:p>
    <w:p w14:paraId="50B37DBE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0A62BD67" w14:textId="77777777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Содержание направлений деятельности КРК, порядок ведения дел, подготовки и проведения контрольных и экспертно-аналитических мероприятий и иные вопросы внутренней деятельности КРК определяются Регламентом КРК.</w:t>
      </w:r>
    </w:p>
    <w:p w14:paraId="0908D45D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2C7B340" w14:textId="10EBC083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Статья 13. Полномочия председателя КРК </w:t>
      </w:r>
    </w:p>
    <w:p w14:paraId="3F4516F0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211285FD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Председатель КРК:</w:t>
      </w:r>
    </w:p>
    <w:p w14:paraId="5EAAF85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осуществляет общее руководство деятельностью КРК;</w:t>
      </w:r>
    </w:p>
    <w:p w14:paraId="60066C6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2) утверждает планы работы КРК;</w:t>
      </w:r>
    </w:p>
    <w:p w14:paraId="717AD30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3) утверждает стандарты внешнего муниципального финансового </w:t>
      </w:r>
      <w:r w:rsidRPr="00175FC8">
        <w:rPr>
          <w:rFonts w:ascii="PT Astra Serif" w:hAnsi="PT Astra Serif"/>
          <w:sz w:val="28"/>
          <w:szCs w:val="28"/>
        </w:rPr>
        <w:lastRenderedPageBreak/>
        <w:t>контроля;</w:t>
      </w:r>
    </w:p>
    <w:p w14:paraId="0FFFE681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представляет Совету депутатов годовой отчет о деятельности КРК;</w:t>
      </w:r>
    </w:p>
    <w:p w14:paraId="673AA6AC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5)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представляет Совету депутатов и главе муниципального округа отчеты о результатах контрольных и экспертно-аналитических мероприятий</w:t>
      </w:r>
      <w:r w:rsidRPr="00175FC8">
        <w:rPr>
          <w:rFonts w:ascii="PT Astra Serif" w:hAnsi="PT Astra Serif"/>
          <w:sz w:val="28"/>
          <w:szCs w:val="28"/>
        </w:rPr>
        <w:t>;</w:t>
      </w:r>
    </w:p>
    <w:p w14:paraId="5018FD1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6) представляет Совету депутатов для утверждения структуру КРК;</w:t>
      </w:r>
    </w:p>
    <w:p w14:paraId="69B1FE58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7) представляет КРК в отношениях с государственными органами Российской Федерации, государственными органами Тамбовской области и органами местного самоуправления;</w:t>
      </w:r>
    </w:p>
    <w:p w14:paraId="6C776F8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8) осуществляет полномочия представителя нанимателя (работодателя) в отношении работников аппарата КРК в соответствии действующим законодательством;</w:t>
      </w:r>
    </w:p>
    <w:p w14:paraId="3CFD732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9) </w:t>
      </w:r>
      <w:r w:rsidRPr="00175FC8">
        <w:rPr>
          <w:rFonts w:ascii="PT Astra Serif" w:hAnsi="PT Astra Serif"/>
          <w:bCs/>
          <w:color w:val="000000"/>
          <w:sz w:val="28"/>
          <w:szCs w:val="28"/>
        </w:rPr>
        <w:t>утверждает штатное расписание в пределах установленной штатной численности и фонда оплаты</w:t>
      </w:r>
      <w:r w:rsidRPr="00175FC8">
        <w:rPr>
          <w:rFonts w:ascii="PT Astra Serif" w:hAnsi="PT Astra Serif"/>
          <w:sz w:val="28"/>
          <w:szCs w:val="28"/>
        </w:rPr>
        <w:t>;</w:t>
      </w:r>
    </w:p>
    <w:p w14:paraId="6238013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10)издает приказы по вопросам организации деятельности КРК;</w:t>
      </w:r>
    </w:p>
    <w:p w14:paraId="1993E84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bCs/>
          <w:color w:val="000000"/>
          <w:sz w:val="28"/>
          <w:szCs w:val="28"/>
        </w:rPr>
        <w:t>11) решает иные вопросы, которые возложены на него законодательством</w:t>
      </w:r>
      <w:r w:rsidRPr="00175FC8">
        <w:rPr>
          <w:rFonts w:ascii="PT Astra Serif" w:hAnsi="PT Astra Serif"/>
          <w:sz w:val="28"/>
          <w:szCs w:val="28"/>
        </w:rPr>
        <w:t>.</w:t>
      </w:r>
    </w:p>
    <w:p w14:paraId="5A4306AB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i/>
          <w:sz w:val="28"/>
          <w:szCs w:val="28"/>
        </w:rPr>
        <w:t xml:space="preserve"> </w:t>
      </w:r>
    </w:p>
    <w:p w14:paraId="5863B944" w14:textId="189FBDE2" w:rsidR="004F0CA1" w:rsidRDefault="004F0CA1" w:rsidP="00CD1CBD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14. Обязательность исполнения требований должностных лиц КРК</w:t>
      </w:r>
    </w:p>
    <w:p w14:paraId="43444DFC" w14:textId="77777777" w:rsidR="00CD1CBD" w:rsidRPr="00CD1CBD" w:rsidRDefault="00CD1CBD" w:rsidP="00CD1CBD">
      <w:pPr>
        <w:pStyle w:val="ConsPlusTitle"/>
        <w:jc w:val="both"/>
        <w:rPr>
          <w:rFonts w:ascii="PT Astra Serif" w:hAnsi="PT Astra Serif"/>
          <w:sz w:val="10"/>
          <w:szCs w:val="10"/>
        </w:rPr>
      </w:pPr>
    </w:p>
    <w:p w14:paraId="6F2797C3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1. Требования и запросы должностных лиц КРК, связанные с осуществлением ими своих должностных полномочий, установленных законодательством Российской Федерации, законами Тамбовской области,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- проверяемые органы и организации). </w:t>
      </w:r>
    </w:p>
    <w:p w14:paraId="5CF6123E" w14:textId="2E708FF2" w:rsidR="004F0CA1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Неисполнение законных требований и запросов должностных лиц КРК,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законами Тамбовской области.</w:t>
      </w:r>
    </w:p>
    <w:p w14:paraId="2F4EF0C3" w14:textId="77777777" w:rsidR="00CD1CBD" w:rsidRPr="00175FC8" w:rsidRDefault="00CD1CBD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14:paraId="6726BED8" w14:textId="588DDB9D" w:rsidR="004F0CA1" w:rsidRDefault="004F0CA1" w:rsidP="00CD1CBD">
      <w:pPr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b/>
          <w:sz w:val="28"/>
          <w:szCs w:val="28"/>
        </w:rPr>
        <w:t>Статья 15.</w:t>
      </w:r>
      <w:r w:rsidRPr="00175FC8">
        <w:rPr>
          <w:rFonts w:ascii="PT Astra Serif" w:hAnsi="PT Astra Serif" w:cs="Arial"/>
          <w:b/>
          <w:bCs/>
          <w:sz w:val="28"/>
          <w:szCs w:val="28"/>
        </w:rPr>
        <w:t xml:space="preserve"> Права, обязанности и ответственность должностных лиц КРК</w:t>
      </w:r>
      <w:r w:rsidRPr="00175FC8">
        <w:rPr>
          <w:rFonts w:ascii="PT Astra Serif" w:hAnsi="PT Astra Serif"/>
          <w:sz w:val="28"/>
          <w:szCs w:val="28"/>
        </w:rPr>
        <w:t xml:space="preserve"> </w:t>
      </w:r>
    </w:p>
    <w:p w14:paraId="552EFB7D" w14:textId="77777777" w:rsidR="00CD1CBD" w:rsidRPr="00CD1CBD" w:rsidRDefault="00CD1CBD" w:rsidP="00CD1CBD">
      <w:pPr>
        <w:jc w:val="both"/>
        <w:rPr>
          <w:rFonts w:ascii="PT Astra Serif" w:hAnsi="PT Astra Serif"/>
          <w:sz w:val="10"/>
          <w:szCs w:val="10"/>
        </w:rPr>
      </w:pPr>
    </w:p>
    <w:p w14:paraId="54745B01" w14:textId="77777777" w:rsidR="004F0CA1" w:rsidRPr="00175FC8" w:rsidRDefault="004F0CA1" w:rsidP="00582DFF">
      <w:pPr>
        <w:pStyle w:val="ConsPlusNormal"/>
        <w:spacing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b/>
          <w:sz w:val="28"/>
          <w:szCs w:val="28"/>
        </w:rPr>
        <w:t xml:space="preserve"> </w:t>
      </w:r>
      <w:r w:rsidRPr="00175FC8">
        <w:rPr>
          <w:rFonts w:ascii="PT Astra Serif" w:hAnsi="PT Astra Serif"/>
          <w:sz w:val="28"/>
          <w:szCs w:val="28"/>
        </w:rPr>
        <w:t>1. Должностные лица КРК при осуществлении возложенных на них должностных полномочий имеют право:</w:t>
      </w:r>
    </w:p>
    <w:p w14:paraId="0ED41CD8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A633806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bookmarkStart w:id="8" w:name="Par222"/>
      <w:bookmarkEnd w:id="8"/>
      <w:r w:rsidRPr="00175FC8">
        <w:rPr>
          <w:rFonts w:ascii="PT Astra Serif" w:hAnsi="PT Astra Serif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</w:t>
      </w:r>
      <w:r w:rsidRPr="00175FC8">
        <w:rPr>
          <w:rFonts w:ascii="PT Astra Serif" w:hAnsi="PT Astra Serif"/>
          <w:sz w:val="28"/>
          <w:szCs w:val="28"/>
        </w:rPr>
        <w:lastRenderedPageBreak/>
        <w:t>уполномоченных должностных лиц проверяемых органов и организаций и составлением соответствующих актов;</w:t>
      </w:r>
    </w:p>
    <w:p w14:paraId="4B6928CD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3) в пределах своей компетенции направлять запросы должностным лицам территориальных органов, федеральных органов исполнительной власти и их структурных подразделений, органов государственной власти и государственных органов Тамбовской области, органов местного самоуправления, организаций;</w:t>
      </w:r>
    </w:p>
    <w:p w14:paraId="1C4F2C9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246EA12E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432A3302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4F3B0A3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3CC400B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8) знакомиться с технической документацией к электронным базам данных;</w:t>
      </w:r>
    </w:p>
    <w:p w14:paraId="5DC1D63D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7044BFBE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Должностные лица КРК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</w:t>
      </w:r>
      <w:r w:rsidRPr="00175FC8">
        <w:rPr>
          <w:rFonts w:ascii="PT Astra Serif" w:hAnsi="PT Astra Serif"/>
          <w:color w:val="000000"/>
          <w:sz w:val="28"/>
          <w:szCs w:val="28"/>
        </w:rPr>
        <w:t xml:space="preserve"> настоящей статьи, должны незамедлительно (в течение 24 часов) увед</w:t>
      </w:r>
      <w:r w:rsidRPr="00175FC8">
        <w:rPr>
          <w:rFonts w:ascii="PT Astra Serif" w:hAnsi="PT Astra Serif"/>
          <w:sz w:val="28"/>
          <w:szCs w:val="28"/>
        </w:rPr>
        <w:t>омить об этом председателя КРК, в порядке и по форме, определенным Законом Тамбовской области от 04.12.2013 № 343-З «Об отдельных вопросах организации и деятельности контрольно-счетных органов муниципальных образований Тамбовской области».</w:t>
      </w:r>
    </w:p>
    <w:p w14:paraId="187CD735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Руководители проверяемых органов и организаций обязаны обеспечивать соответствующих должностных лиц КРК,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</w:p>
    <w:p w14:paraId="0858D769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4. Должностные лица КРК не вправе вмешиваться в оперативно-хозяйственную деятельность проверяемых органов и организаций, а также </w:t>
      </w:r>
      <w:r w:rsidRPr="00175FC8">
        <w:rPr>
          <w:rFonts w:ascii="PT Astra Serif" w:hAnsi="PT Astra Serif"/>
          <w:sz w:val="28"/>
          <w:szCs w:val="28"/>
        </w:rPr>
        <w:lastRenderedPageBreak/>
        <w:t>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534C91BD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Должностные лица КРК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3B7FDB26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6. Должностные лица КРК обязаны соблюдать ограничения, запреты, исполнять обязанности, которые установлены Федеральным законом от 25.12. 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3071254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7. Должностные лица КРК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156EBF8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8. Председатель КРК вправе участвовать в заседаниях Совета депутатов, его комитетов, комиссий и рабочих групп, заседаниях иных органов местного самоуправления муниципального округа.</w:t>
      </w:r>
    </w:p>
    <w:p w14:paraId="6EA75F8F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609E251" w14:textId="0672C201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16. Предоставление информации КРК</w:t>
      </w:r>
    </w:p>
    <w:p w14:paraId="7B8960CC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6F52A903" w14:textId="6DBAAC5E" w:rsidR="004F0CA1" w:rsidRPr="00175FC8" w:rsidRDefault="004F0CA1" w:rsidP="004F0CA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9" w:name="Par240"/>
      <w:bookmarkEnd w:id="9"/>
      <w:r w:rsidRPr="00175FC8">
        <w:rPr>
          <w:rFonts w:ascii="PT Astra Serif" w:hAnsi="PT Astra Serif"/>
          <w:sz w:val="28"/>
          <w:szCs w:val="28"/>
        </w:rPr>
        <w:t>1. Органы местного самоуправления и муниципальные органы муниципального округа, организации, в отношении которых К</w:t>
      </w:r>
      <w:r w:rsidR="005F4770" w:rsidRPr="00175FC8">
        <w:rPr>
          <w:rFonts w:ascii="PT Astra Serif" w:hAnsi="PT Astra Serif"/>
          <w:sz w:val="28"/>
          <w:szCs w:val="28"/>
        </w:rPr>
        <w:t>РК</w:t>
      </w:r>
      <w:r w:rsidRPr="00175FC8">
        <w:rPr>
          <w:rFonts w:ascii="PT Astra Serif" w:hAnsi="PT Astra Serif"/>
          <w:sz w:val="28"/>
          <w:szCs w:val="28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Законом Тамбовской области от 04.12.2013 №343-З «Об отдельных вопросах организации и деятельности контрольно-счетных органов муниципальных образований Тамбовской области» сроки обязаны представлять в КРК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12ACB1B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Порядок направления КРК запросов, указанных в части 1 настоящей статьи, определяется муниципальными нормативными правовыми актами и регламентом КРК.</w:t>
      </w:r>
    </w:p>
    <w:p w14:paraId="71BE9DC0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lastRenderedPageBreak/>
        <w:t>3. КРК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38B6D1E0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Непредставление или несвоевременное представление органами и организациями, указанными в части 1 настоящей статьи, в КРК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Тамбовской области.</w:t>
      </w:r>
    </w:p>
    <w:p w14:paraId="589E536B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При осуществлении внешнего муниципального финансового контроля КРК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4CF30FEE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3B6F20F" w14:textId="60537A67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17. Представления, предписания и уведомления КРК</w:t>
      </w:r>
    </w:p>
    <w:p w14:paraId="7D8BAAD7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51429CFC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КРК по результатам проведения контрольных мероприятий вправе вносить в органы местного самоуправления и муниципальные органы муниципального округа,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округа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38D49EA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Представление КРК подписывается председателем КРК.</w:t>
      </w:r>
    </w:p>
    <w:p w14:paraId="5E594BB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Органы местного самоуправления и муниципальные органы муниципального округа,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КРК о принятых по результатам выполнения представления решениях и мерах.</w:t>
      </w:r>
    </w:p>
    <w:p w14:paraId="22BB27D7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Срок выполнения представления может быть продлен по решению КРК, но не более одного раза.</w:t>
      </w:r>
    </w:p>
    <w:p w14:paraId="00F433F5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КРК, а также в случае воспрепятствования проведению должностными лицами КРК контрольных мероприятий КРК направляет в органы местного самоуправления и муниципальные органа муниципального округа, проверяемые органы и организации и их должностным лицам предписание.</w:t>
      </w:r>
    </w:p>
    <w:p w14:paraId="3379F11B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6. Предписание КРК должно содержать указание на конкретные допущенные нарушения и конкретные основания вынесения предписания. </w:t>
      </w:r>
      <w:r w:rsidRPr="00175FC8">
        <w:rPr>
          <w:rFonts w:ascii="PT Astra Serif" w:hAnsi="PT Astra Serif"/>
          <w:sz w:val="28"/>
          <w:szCs w:val="28"/>
        </w:rPr>
        <w:lastRenderedPageBreak/>
        <w:t>Предписание КРК подписывается председателем КРК.</w:t>
      </w:r>
    </w:p>
    <w:p w14:paraId="68236E0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7. Предписание КРК должно быть исполнено в установленные в нем сроки. Срок выполнения предписания может быть продлен по решению КРК, но не более одного раза.</w:t>
      </w:r>
    </w:p>
    <w:p w14:paraId="323FEF7F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8. Невыполнение представления или предписания КРК влечет за собой ответственность, установленную законодательством Российской Федерации.</w:t>
      </w:r>
    </w:p>
    <w:p w14:paraId="59D3B619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9. В случае, если при проведении контрольных мероприятий выявлены факты незаконного использования средств бюджета муниципального округа, в которых усматриваются признаки преступления или коррупционного правонарушения, КРК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КРК информацию о ходе рассмотрения и принятых решениях по переданным КРК материалам.</w:t>
      </w:r>
    </w:p>
    <w:p w14:paraId="29FDCA8E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10. При выявлении в ходе контрольного мероприятия бюджетных нарушений, предусмотренных главой 30 Бюджетного кодекса Российской Федерации, КРК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</w:p>
    <w:p w14:paraId="08506B87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Под уведомлением о применении бюджетных мер принуждения понимается документ КРК, составленный в соответствии с частью 5 статьи 306.2 Бюджетного кодекса Российской Федерации, обязательный к рассмотрению финансовым органом, 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14:paraId="1039C787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3A84356" w14:textId="7225E9BF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18. Гарантии прав проверяемых органов и организаций</w:t>
      </w:r>
    </w:p>
    <w:p w14:paraId="3385371A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68A416F9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Акты, составленные КРК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14:paraId="7A124DC2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КРК, с учетом досудебного урегулирования спорных отношений, а также обратиться с жалобой на действия (бездействие) КРК в Совет депутатов. Подача заявления не приостанавливает действия предписания.</w:t>
      </w:r>
    </w:p>
    <w:p w14:paraId="2B3DFC9F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4111E08" w14:textId="02772503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lastRenderedPageBreak/>
        <w:t xml:space="preserve">Статья 19. Взаимодействие КРК </w:t>
      </w:r>
    </w:p>
    <w:p w14:paraId="2FD39219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358F4106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1. КРК при осуществлении своей деятельности вправе взаимодействовать с Контрольно-счетной палатой Тамбовской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КРК вправе заключать с ними соглашения о </w:t>
      </w:r>
      <w:proofErr w:type="gramStart"/>
      <w:r w:rsidRPr="00175FC8">
        <w:rPr>
          <w:rFonts w:ascii="PT Astra Serif" w:hAnsi="PT Astra Serif"/>
          <w:sz w:val="28"/>
          <w:szCs w:val="28"/>
        </w:rPr>
        <w:t>сотрудничестве</w:t>
      </w:r>
      <w:r w:rsidRPr="00175FC8">
        <w:rPr>
          <w:sz w:val="28"/>
          <w:szCs w:val="28"/>
        </w:rPr>
        <w:t> </w:t>
      </w:r>
      <w:r w:rsidRPr="00175FC8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Pr="00175FC8">
        <w:rPr>
          <w:rFonts w:ascii="PT Astra Serif" w:hAnsi="PT Astra Serif"/>
          <w:sz w:val="28"/>
          <w:szCs w:val="28"/>
        </w:rPr>
        <w:t xml:space="preserve"> взаимодействии.</w:t>
      </w:r>
    </w:p>
    <w:p w14:paraId="53BE60FD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КРК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499BB3A2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КРК вправе вступать в объединения (ассоциации) контрольно-счетных органов Российской Федерации, объединения (ассоциации) контрольно-счетных органов Тамбовской области.</w:t>
      </w:r>
    </w:p>
    <w:p w14:paraId="75473300" w14:textId="77777777" w:rsidR="004F0CA1" w:rsidRPr="00175FC8" w:rsidRDefault="004F0CA1" w:rsidP="004F0CA1">
      <w:pPr>
        <w:pStyle w:val="ConsPlusNormal"/>
        <w:spacing w:before="240" w:after="20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4. В целях координации своей деятельности КРК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477C8F72" w14:textId="629890CA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20. Обеспечение доступа к информации о деятельности КРК</w:t>
      </w:r>
    </w:p>
    <w:p w14:paraId="11F77FB6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2C7C788C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КРК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(или)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3E295FD0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КРК ежегодно в срок до 20 марта года, следующего за отчетным, представляет отчет о своей деятельности в Совет депутатов. Указанный отчет опубликовывается в средствах массовой информации и размещается в сети «Интернет» только после его рассмотрения</w:t>
      </w:r>
      <w:r w:rsidRPr="00175FC8">
        <w:rPr>
          <w:sz w:val="28"/>
          <w:szCs w:val="28"/>
        </w:rPr>
        <w:t>  </w:t>
      </w:r>
      <w:r w:rsidRPr="00175FC8">
        <w:rPr>
          <w:rFonts w:ascii="PT Astra Serif" w:hAnsi="PT Astra Serif"/>
          <w:sz w:val="28"/>
          <w:szCs w:val="28"/>
        </w:rPr>
        <w:t xml:space="preserve"> </w:t>
      </w:r>
      <w:r w:rsidRPr="00175FC8">
        <w:rPr>
          <w:sz w:val="28"/>
          <w:szCs w:val="28"/>
        </w:rPr>
        <w:t> </w:t>
      </w:r>
      <w:r w:rsidRPr="00175FC8">
        <w:rPr>
          <w:rFonts w:ascii="PT Astra Serif" w:hAnsi="PT Astra Serif"/>
          <w:sz w:val="28"/>
          <w:szCs w:val="28"/>
        </w:rPr>
        <w:t xml:space="preserve"> Советом депутатов.</w:t>
      </w:r>
    </w:p>
    <w:p w14:paraId="544D76F1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3. Опубликование в средствах массовой информации и размещение в информационно-телекоммуникационной сети Интернет информации о деятельности КРК осуществляется в соответствии с Регламентом КРК.</w:t>
      </w:r>
    </w:p>
    <w:p w14:paraId="3AD8E739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E2B5039" w14:textId="5EEB12ED" w:rsidR="004F0CA1" w:rsidRDefault="004F0CA1" w:rsidP="004F0CA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Статья 21. Финансовое обеспечение деятельности КРК</w:t>
      </w:r>
    </w:p>
    <w:p w14:paraId="7B41F592" w14:textId="77777777" w:rsidR="00CD1CBD" w:rsidRPr="00CD1CBD" w:rsidRDefault="00CD1CBD" w:rsidP="004F0CA1">
      <w:pPr>
        <w:pStyle w:val="ConsPlusTitle"/>
        <w:ind w:firstLine="540"/>
        <w:jc w:val="both"/>
        <w:rPr>
          <w:rFonts w:ascii="PT Astra Serif" w:hAnsi="PT Astra Serif"/>
          <w:sz w:val="10"/>
          <w:szCs w:val="10"/>
        </w:rPr>
      </w:pPr>
    </w:p>
    <w:p w14:paraId="057E16D1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 xml:space="preserve">1. Финансовое обеспечение деятельности КРК муниципального округа осуществляется за счет средств местного бюджета. Финансовое обеспечение </w:t>
      </w:r>
      <w:r w:rsidRPr="00175FC8">
        <w:rPr>
          <w:rFonts w:ascii="PT Astra Serif" w:hAnsi="PT Astra Serif"/>
          <w:sz w:val="28"/>
          <w:szCs w:val="28"/>
        </w:rPr>
        <w:lastRenderedPageBreak/>
        <w:t>деятельности КРК предусматривается в объеме, позволяющем обеспечить возможность осуществления возложенных на него полномочий.</w:t>
      </w:r>
    </w:p>
    <w:p w14:paraId="513DFB29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Контроль за использованием КРК бюджетных средств и муниципального имущества осуществляется на основании решений Совета депутатов.</w:t>
      </w:r>
    </w:p>
    <w:p w14:paraId="51D92651" w14:textId="77777777" w:rsidR="004F0CA1" w:rsidRPr="00175FC8" w:rsidRDefault="004F0CA1" w:rsidP="004F0C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29FC3C6" w14:textId="2C76DC53" w:rsidR="004F0CA1" w:rsidRDefault="004F0CA1" w:rsidP="004F0CA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b/>
          <w:sz w:val="28"/>
          <w:szCs w:val="28"/>
        </w:rPr>
        <w:t>Статья 22.</w:t>
      </w:r>
      <w:r w:rsidRPr="00175FC8">
        <w:rPr>
          <w:rFonts w:ascii="PT Astra Serif" w:hAnsi="PT Astra Serif"/>
          <w:sz w:val="28"/>
          <w:szCs w:val="28"/>
        </w:rPr>
        <w:t xml:space="preserve"> </w:t>
      </w:r>
      <w:r w:rsidRPr="00175FC8">
        <w:rPr>
          <w:rFonts w:ascii="PT Astra Serif" w:hAnsi="PT Astra Serif" w:cs="Arial"/>
          <w:b/>
          <w:bCs/>
          <w:sz w:val="28"/>
          <w:szCs w:val="28"/>
        </w:rPr>
        <w:t>Материальное и социальное обеспечение должностных лиц контрольно-счетных органов</w:t>
      </w:r>
      <w:r w:rsidRPr="00175FC8">
        <w:rPr>
          <w:rFonts w:ascii="PT Astra Serif" w:hAnsi="PT Astra Serif"/>
          <w:sz w:val="28"/>
          <w:szCs w:val="28"/>
        </w:rPr>
        <w:t xml:space="preserve"> </w:t>
      </w:r>
    </w:p>
    <w:p w14:paraId="66EF2069" w14:textId="77777777" w:rsidR="00CD1CBD" w:rsidRPr="00CD1CBD" w:rsidRDefault="00CD1CBD" w:rsidP="004F0CA1">
      <w:pPr>
        <w:ind w:firstLine="540"/>
        <w:jc w:val="both"/>
        <w:rPr>
          <w:rFonts w:ascii="PT Astra Serif" w:hAnsi="PT Astra Serif"/>
          <w:sz w:val="10"/>
          <w:szCs w:val="10"/>
        </w:rPr>
      </w:pPr>
      <w:bookmarkStart w:id="10" w:name="_GoBack"/>
    </w:p>
    <w:bookmarkEnd w:id="10"/>
    <w:p w14:paraId="5696FC32" w14:textId="77777777" w:rsidR="004F0CA1" w:rsidRPr="00175FC8" w:rsidRDefault="004F0CA1" w:rsidP="004F0CA1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1. Должностным лицам КРК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14:paraId="7955FFA6" w14:textId="77777777" w:rsidR="004F0CA1" w:rsidRPr="00175FC8" w:rsidRDefault="004F0CA1" w:rsidP="004F0CA1">
      <w:pPr>
        <w:pStyle w:val="ConsPlusNormal"/>
        <w:spacing w:before="240" w:after="20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175FC8">
        <w:rPr>
          <w:rFonts w:ascii="PT Astra Serif" w:hAnsi="PT Astra Serif"/>
          <w:sz w:val="28"/>
          <w:szCs w:val="28"/>
        </w:rPr>
        <w:t>2. Меры по материальному и социальному обеспечению председателя и работников аппарата КРК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Законом Тамбовской области от 04.12.2013 № 343-З «Об отдельных вопросах организации и деятельности контрольно-счетных органов муниципальных образований Тамбовской области».</w:t>
      </w:r>
    </w:p>
    <w:p w14:paraId="5F5DC3A6" w14:textId="77777777" w:rsidR="00C203A0" w:rsidRDefault="00C203A0" w:rsidP="00884151"/>
    <w:sectPr w:rsidR="00C2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51"/>
    <w:rsid w:val="00080800"/>
    <w:rsid w:val="00175FC8"/>
    <w:rsid w:val="00243DCF"/>
    <w:rsid w:val="003064C9"/>
    <w:rsid w:val="004623A5"/>
    <w:rsid w:val="00477999"/>
    <w:rsid w:val="004B618C"/>
    <w:rsid w:val="004F0CA1"/>
    <w:rsid w:val="00582DFF"/>
    <w:rsid w:val="005F4770"/>
    <w:rsid w:val="006272BA"/>
    <w:rsid w:val="0070783B"/>
    <w:rsid w:val="007864A0"/>
    <w:rsid w:val="008617A4"/>
    <w:rsid w:val="0086289E"/>
    <w:rsid w:val="00884151"/>
    <w:rsid w:val="008874E6"/>
    <w:rsid w:val="00A355DA"/>
    <w:rsid w:val="00A466F2"/>
    <w:rsid w:val="00AF5953"/>
    <w:rsid w:val="00C203A0"/>
    <w:rsid w:val="00C77681"/>
    <w:rsid w:val="00CD1CBD"/>
    <w:rsid w:val="00D608C3"/>
    <w:rsid w:val="00EC5DAC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BE88"/>
  <w15:chartTrackingRefBased/>
  <w15:docId w15:val="{45CBE6E8-2938-464B-A304-C39C240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84151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14-15">
    <w:name w:val="Текст 14-15"/>
    <w:basedOn w:val="a"/>
    <w:rsid w:val="00884151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5">
    <w:name w:val="Îáû÷íû"/>
    <w:rsid w:val="00884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84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8841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8415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uiPriority w:val="99"/>
    <w:rsid w:val="004F0C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0CA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paragraph" w:styleId="a7">
    <w:name w:val="No Spacing"/>
    <w:uiPriority w:val="1"/>
    <w:qFormat/>
    <w:rsid w:val="003064C9"/>
    <w:pPr>
      <w:suppressAutoHyphens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628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Кокина68rus</dc:creator>
  <cp:keywords/>
  <dc:description/>
  <cp:lastModifiedBy>Пользователь Windows</cp:lastModifiedBy>
  <cp:revision>2</cp:revision>
  <cp:lastPrinted>2023-09-15T12:43:00Z</cp:lastPrinted>
  <dcterms:created xsi:type="dcterms:W3CDTF">2024-01-15T07:07:00Z</dcterms:created>
  <dcterms:modified xsi:type="dcterms:W3CDTF">2024-01-15T07:07:00Z</dcterms:modified>
</cp:coreProperties>
</file>