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16"/>
          <w:highlight w:val="yellow"/>
          <w:u w:val="single"/>
        </w:rPr>
      </w:pPr>
    </w:p>
    <w:p w14:paraId="02000000">
      <w:pPr>
        <w:pStyle w:val="Style_1"/>
        <w:ind/>
        <w:jc w:val="center"/>
      </w:pPr>
      <w:r>
        <w:rPr>
          <w:rFonts w:ascii="Times New Roman" w:hAnsi="Times New Roman"/>
          <w:b w:val="1"/>
          <w:sz w:val="28"/>
          <w:u w:val="single"/>
        </w:rPr>
        <w:t>Как защитить себя при незаконном переводе пенсионных накоплений?</w:t>
      </w:r>
    </w:p>
    <w:p w14:paraId="03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 xml:space="preserve">Если Вы узнали о том, что средства Ваших пенсионных накоплений переведены без Вашего согласия из Социального фонда России (СФР) в негосударственный пенсионный фонд (НПФ) или из одного НПФ в другой, </w:t>
      </w:r>
      <w:r>
        <w:rPr>
          <w:rFonts w:ascii="Times New Roman" w:hAnsi="Times New Roman"/>
          <w:b w:val="1"/>
          <w:color w:val="0B1F33"/>
          <w:sz w:val="24"/>
        </w:rPr>
        <w:t xml:space="preserve">направьте </w:t>
      </w:r>
      <w:r>
        <w:rPr>
          <w:rFonts w:ascii="Times New Roman" w:hAnsi="Times New Roman"/>
          <w:b w:val="1"/>
          <w:color w:val="0B1F33"/>
          <w:sz w:val="24"/>
          <w:u w:val="single"/>
        </w:rPr>
        <w:t>бесплатное</w:t>
      </w:r>
      <w:r>
        <w:rPr>
          <w:rFonts w:ascii="Times New Roman" w:hAnsi="Times New Roman"/>
          <w:b w:val="1"/>
          <w:color w:val="0B1F33"/>
          <w:sz w:val="24"/>
        </w:rPr>
        <w:t xml:space="preserve"> обращение финансовому уполномоченному.</w:t>
      </w:r>
    </w:p>
    <w:p w14:paraId="04000000">
      <w:pPr>
        <w:pStyle w:val="Style_1"/>
        <w:spacing w:after="0" w:before="0" w:line="360" w:lineRule="atLeast"/>
        <w:ind w:firstLine="284"/>
        <w:jc w:val="both"/>
        <w:rPr>
          <w:rFonts w:ascii="Times New Roman" w:hAnsi="Times New Roman"/>
          <w:color w:val="0B1F33"/>
          <w:sz w:val="24"/>
        </w:rPr>
      </w:pPr>
    </w:p>
    <w:p w14:paraId="05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Финансовый уполномоченный поможет Вам вернуть предыдущему страховщику по обязательному пенсионному страхованию:</w:t>
      </w:r>
    </w:p>
    <w:p w14:paraId="06000000">
      <w:pPr>
        <w:pStyle w:val="Style_1"/>
        <w:numPr>
          <w:ilvl w:val="0"/>
          <w:numId w:val="1"/>
        </w:numPr>
        <w:tabs>
          <w:tab w:leader="none" w:pos="708" w:val="clear"/>
        </w:tabs>
        <w:spacing w:after="0" w:beforeAutospacing="on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средства пенсионных накоплений и иные суммы, связанные с их инвестированием;</w:t>
      </w:r>
    </w:p>
    <w:p w14:paraId="07000000">
      <w:pPr>
        <w:pStyle w:val="Style_1"/>
        <w:numPr>
          <w:ilvl w:val="0"/>
          <w:numId w:val="1"/>
        </w:numPr>
        <w:tabs>
          <w:tab w:leader="none" w:pos="708" w:val="clear"/>
        </w:tabs>
        <w:spacing w:afterAutospacing="on" w:before="0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проценты за неправомерное пользование средствами пенсионных накоплений.</w:t>
      </w:r>
    </w:p>
    <w:p w14:paraId="08000000">
      <w:pPr>
        <w:pStyle w:val="Style_1"/>
        <w:numPr>
          <w:ilvl w:val="0"/>
          <w:numId w:val="0"/>
        </w:numPr>
        <w:spacing w:afterAutospacing="on" w:beforeAutospacing="on" w:line="360" w:lineRule="atLeast"/>
        <w:ind w:firstLine="0" w:left="0"/>
        <w:outlineLvl w:val="2"/>
      </w:pPr>
      <w:r>
        <w:rPr>
          <w:rFonts w:ascii="Times New Roman" w:hAnsi="Times New Roman"/>
          <w:b w:val="1"/>
          <w:color w:val="0B1F33"/>
          <w:sz w:val="24"/>
        </w:rPr>
        <w:t>Как узнать, где находятся Ваши пенсионные накопления?</w:t>
      </w:r>
    </w:p>
    <w:p w14:paraId="09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Проверить, где находятся Ваши пенсионные накопления, можно в любое время – например, на портале Госуслуг. Достаточно зайти в личный кабинет и выбрать услугу по получению выписки о состоянии индивидуального лицевого счета – в ней будет наименование текущего страховщика по обязательному пенсионному страхованию, у которого находятся средства Ваших пенсионных накоплений.</w:t>
      </w:r>
    </w:p>
    <w:p w14:paraId="0A000000">
      <w:pPr>
        <w:pStyle w:val="Style_1"/>
        <w:numPr>
          <w:ilvl w:val="0"/>
          <w:numId w:val="0"/>
        </w:numPr>
        <w:spacing w:afterAutospacing="on" w:beforeAutospacing="on" w:line="360" w:lineRule="atLeast"/>
        <w:ind w:firstLine="0" w:left="0"/>
        <w:outlineLvl w:val="2"/>
      </w:pPr>
      <w:r>
        <w:rPr>
          <w:rFonts w:ascii="Times New Roman" w:hAnsi="Times New Roman"/>
          <w:b w:val="1"/>
          <w:color w:val="0B1F33"/>
          <w:sz w:val="24"/>
        </w:rPr>
        <w:t>Как обратиться к финансовому уполномоченному?</w:t>
      </w:r>
    </w:p>
    <w:p w14:paraId="0B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Если Вы узнали, что средства Ваших пенсионных накоплений переведены без Вашего согласия из СФР в НПФ или из одного НПФ в другой и при этом:</w:t>
      </w:r>
    </w:p>
    <w:p w14:paraId="0C000000">
      <w:pPr>
        <w:pStyle w:val="Style_1"/>
        <w:numPr>
          <w:ilvl w:val="0"/>
          <w:numId w:val="1"/>
        </w:numPr>
        <w:tabs>
          <w:tab w:leader="none" w:pos="708" w:val="clear"/>
        </w:tabs>
        <w:spacing w:after="0" w:beforeAutospacing="on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Вам еще не установлена накопительная пенсия, срочная пенсионная выплата и (или) единовременная выплата средств пенсионных накоплений;</w:t>
      </w:r>
    </w:p>
    <w:p w14:paraId="0D000000">
      <w:pPr>
        <w:pStyle w:val="Style_1"/>
        <w:numPr>
          <w:ilvl w:val="0"/>
          <w:numId w:val="1"/>
        </w:numPr>
        <w:tabs>
          <w:tab w:leader="none" w:pos="708" w:val="clear"/>
        </w:tabs>
        <w:spacing w:afterAutospacing="on" w:before="0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со дня, когда Вы узнали или должны были узнать о нарушении своего права, прошло не более трех лет.</w:t>
      </w:r>
    </w:p>
    <w:p w14:paraId="0E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Вы можете предпринять следующие шаги для восстановления ваших прав:</w:t>
      </w:r>
    </w:p>
    <w:p w14:paraId="0F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b w:val="1"/>
          <w:color w:val="0B1F33"/>
          <w:sz w:val="24"/>
        </w:rPr>
        <w:t>1. Направьте заявление о восстановлении нарушенного права в НПФ, с которым у Вас возник спор</w:t>
      </w:r>
    </w:p>
    <w:p w14:paraId="10000000">
      <w:pPr>
        <w:pStyle w:val="Style_1"/>
        <w:spacing w:after="0" w:before="0" w:line="360" w:lineRule="atLeast"/>
        <w:ind w:firstLine="709"/>
        <w:jc w:val="both"/>
        <w:rPr>
          <w:rFonts w:ascii="Times New Roman" w:hAnsi="Times New Roman"/>
          <w:color w:val="0B1F33"/>
          <w:sz w:val="24"/>
        </w:rPr>
      </w:pPr>
    </w:p>
    <w:p w14:paraId="11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НПФ должен направить Вам ответ в течение:</w:t>
      </w:r>
    </w:p>
    <w:p w14:paraId="12000000">
      <w:pPr>
        <w:pStyle w:val="Style_1"/>
        <w:numPr>
          <w:ilvl w:val="0"/>
          <w:numId w:val="1"/>
        </w:numPr>
        <w:tabs>
          <w:tab w:leader="none" w:pos="708" w:val="clear"/>
        </w:tabs>
        <w:spacing w:after="0" w:beforeAutospacing="on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20 рабочих дней, если заявление было направлено Вами в электронном виде по стандартной форме, размещенной на сайте финансового уполномоченного, и со дня нарушения Ваших прав прошло не более 180 дней;</w:t>
      </w:r>
    </w:p>
    <w:p w14:paraId="13000000">
      <w:pPr>
        <w:pStyle w:val="Style_1"/>
        <w:numPr>
          <w:ilvl w:val="0"/>
          <w:numId w:val="1"/>
        </w:numPr>
        <w:tabs>
          <w:tab w:leader="none" w:pos="708" w:val="clear"/>
        </w:tabs>
        <w:spacing w:afterAutospacing="on" w:before="0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40 календарных дней в иных случаях.</w:t>
      </w:r>
    </w:p>
    <w:p w14:paraId="14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b w:val="1"/>
          <w:color w:val="0B1F33"/>
          <w:sz w:val="24"/>
        </w:rPr>
        <w:t>2. Направьте обращение финансовому уполномоченному, если</w:t>
      </w:r>
      <w:r>
        <w:rPr>
          <w:rFonts w:ascii="Times New Roman" w:hAnsi="Times New Roman"/>
          <w:b w:val="1"/>
          <w:color w:val="0B1F33"/>
          <w:sz w:val="24"/>
        </w:rPr>
        <w:br/>
      </w:r>
      <w:r>
        <w:rPr>
          <w:rFonts w:ascii="Times New Roman" w:hAnsi="Times New Roman"/>
          <w:b w:val="1"/>
          <w:color w:val="0B1F33"/>
          <w:sz w:val="24"/>
        </w:rPr>
        <w:t>не согласны с принятым НПФ решением или не получили ответ в установленный срок</w:t>
      </w:r>
    </w:p>
    <w:p w14:paraId="15000000">
      <w:pPr>
        <w:pStyle w:val="Style_1"/>
        <w:spacing w:after="0" w:before="0" w:line="360" w:lineRule="atLeast"/>
        <w:ind w:firstLine="709"/>
        <w:jc w:val="both"/>
        <w:rPr>
          <w:rFonts w:ascii="Times New Roman" w:hAnsi="Times New Roman"/>
          <w:color w:val="0B1F33"/>
          <w:sz w:val="24"/>
        </w:rPr>
      </w:pPr>
    </w:p>
    <w:p w14:paraId="16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Обращение может быть направлено:</w:t>
      </w:r>
    </w:p>
    <w:p w14:paraId="17000000">
      <w:pPr>
        <w:pStyle w:val="Style_1"/>
        <w:numPr>
          <w:ilvl w:val="0"/>
          <w:numId w:val="1"/>
        </w:numPr>
        <w:tabs>
          <w:tab w:leader="none" w:pos="708" w:val="clear"/>
        </w:tabs>
        <w:spacing w:after="0" w:beforeAutospacing="on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 xml:space="preserve">в электронной форме через личный кабинет на сайте финансового уполномоченного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"https://finombudsman.ru/"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finombudsman.ru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или на портале Госуслуг;</w:t>
      </w:r>
    </w:p>
    <w:p w14:paraId="18000000">
      <w:pPr>
        <w:pStyle w:val="Style_1"/>
        <w:numPr>
          <w:ilvl w:val="0"/>
          <w:numId w:val="1"/>
        </w:numPr>
        <w:tabs>
          <w:tab w:leader="none" w:pos="708" w:val="clear"/>
        </w:tabs>
        <w:spacing w:afterAutospacing="on" w:before="0" w:line="360" w:lineRule="atLeast"/>
        <w:ind w:hanging="524" w:left="1134"/>
        <w:jc w:val="both"/>
      </w:pPr>
      <w:r>
        <w:rPr>
          <w:rFonts w:ascii="Times New Roman" w:hAnsi="Times New Roman"/>
          <w:sz w:val="24"/>
        </w:rPr>
        <w:t>на бумажном носителе по адресу: 119017, г. Москва, Старомонетный пер., д. 3, АНО «СОДФУ».</w:t>
      </w:r>
    </w:p>
    <w:p w14:paraId="19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i w:val="1"/>
          <w:color w:val="0B1F33"/>
          <w:sz w:val="24"/>
        </w:rPr>
        <w:t>Финансовый уполномоченный назначит почерковедческую экспертизу Вашей подписи в договоре об обязательном пенсионном страховании и заявлении о смене страховщика. Для проведения экспертизы Вам потребуется предоставить финансовому уполномоченному образцы своей подписи и документы, содержащие Вашу подпись.</w:t>
      </w:r>
    </w:p>
    <w:p w14:paraId="1A000000">
      <w:pPr>
        <w:pStyle w:val="Style_1"/>
        <w:spacing w:after="0" w:before="0" w:line="360" w:lineRule="atLeast"/>
        <w:ind w:firstLine="709"/>
        <w:jc w:val="both"/>
        <w:rPr>
          <w:rFonts w:ascii="Times New Roman" w:hAnsi="Times New Roman"/>
          <w:i w:val="1"/>
          <w:color w:val="0B1F33"/>
          <w:sz w:val="24"/>
        </w:rPr>
      </w:pPr>
    </w:p>
    <w:p w14:paraId="1B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i w:val="1"/>
          <w:color w:val="0B1F33"/>
          <w:sz w:val="24"/>
        </w:rPr>
        <w:t>Если Вы заключили с НПФ соглашение о том, что Ваш текущий договор об обязательном пенсионном страховании является незаключенным, Вам также необходимо обратиться к финансовому уполномоченному для завершения процедуры возврата пенсионных накоплений предыдущему страховщику по обязательному пенсионному страхованию.</w:t>
      </w:r>
    </w:p>
    <w:p w14:paraId="1C000000">
      <w:pPr>
        <w:pStyle w:val="Style_1"/>
        <w:spacing w:after="0" w:before="0" w:line="360" w:lineRule="atLeast"/>
        <w:ind/>
        <w:rPr>
          <w:rFonts w:ascii="Times New Roman" w:hAnsi="Times New Roman"/>
          <w:color w:val="0B1F33"/>
          <w:sz w:val="24"/>
        </w:rPr>
      </w:pPr>
    </w:p>
    <w:p w14:paraId="1D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b w:val="1"/>
          <w:color w:val="0B1F33"/>
          <w:sz w:val="24"/>
        </w:rPr>
        <w:t>3. Получите решение финансового уполномоченного по Вашему обращению</w:t>
      </w:r>
    </w:p>
    <w:p w14:paraId="1E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Решение финансового уполномоченного также будет направлено в СФР и в НПФ.</w:t>
      </w:r>
    </w:p>
    <w:p w14:paraId="1F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Решение подлежит обязательному исполнению НПФ не позднее 30 дней после его вступления в силу.</w:t>
      </w:r>
    </w:p>
    <w:p w14:paraId="20000000">
      <w:pPr>
        <w:pStyle w:val="Style_1"/>
        <w:spacing w:after="0" w:before="0" w:line="360" w:lineRule="atLeast"/>
        <w:ind w:firstLine="709"/>
        <w:jc w:val="both"/>
      </w:pPr>
      <w:r>
        <w:rPr>
          <w:rFonts w:ascii="Times New Roman" w:hAnsi="Times New Roman"/>
          <w:color w:val="0B1F33"/>
          <w:sz w:val="24"/>
        </w:rPr>
        <w:t>СФР по результатам исполнения НПФ решения финансового уполномоченного вносит изменения в единый реестр застрахованных лиц по обязательному пенсионному страхованию. После этого в Вашей выписке о состоянии индивидуального лицевого счета в качестве текущего страховщика по обязательному пенсионному страхованию будет указан страховщик, которому возвращены средства пенсионных накоплений (СФР или НПФ, из которого пенсионные накопления были переведены без Вашего согласия).</w:t>
      </w:r>
    </w:p>
    <w:p w14:paraId="21000000">
      <w:pPr>
        <w:pStyle w:val="Style_1"/>
        <w:spacing w:after="0" w:before="0" w:line="360" w:lineRule="atLeast"/>
        <w:ind/>
        <w:rPr>
          <w:rFonts w:ascii="Times New Roman" w:hAnsi="Times New Roman"/>
          <w:color w:val="0B1F33"/>
          <w:sz w:val="24"/>
        </w:rPr>
      </w:pPr>
    </w:p>
    <w:p w14:paraId="22000000">
      <w:pPr>
        <w:pStyle w:val="Style_1"/>
        <w:spacing w:after="120" w:before="120" w:line="240" w:lineRule="auto"/>
        <w:ind w:firstLine="709"/>
        <w:jc w:val="both"/>
      </w:pPr>
      <w:r>
        <w:rPr>
          <w:rFonts w:ascii="Times New Roman" w:hAnsi="Times New Roman"/>
          <w:i w:val="1"/>
          <w:color w:val="0B1F33"/>
          <w:sz w:val="24"/>
        </w:rPr>
        <w:t xml:space="preserve">Ознакомиться с подробной информацией можно на сайте finombudsman.ru в разделе «База знаний» </w:t>
      </w:r>
      <w:r>
        <w:rPr>
          <w:rFonts w:ascii="Times New Roman" w:hAnsi="Times New Roman"/>
          <w:i w:val="1"/>
          <w:sz w:val="24"/>
        </w:rPr>
        <w:fldChar w:fldCharType="begin"/>
      </w:r>
      <w:r>
        <w:rPr>
          <w:rFonts w:ascii="Times New Roman" w:hAnsi="Times New Roman"/>
          <w:i w:val="1"/>
          <w:sz w:val="24"/>
        </w:rPr>
        <w:instrText>HYPERLINK "https://finombudsman.ru/kb/spory-podlezhashchie-rassmotreniyu-finansovym-upolnomochennym/spor-s-negosudarstvennyim-pensionnyim-fondom-(npf)-o-nepravomernom-perevode-pensionnyix-nakoplenij.html"</w:instrText>
      </w:r>
      <w:r>
        <w:rPr>
          <w:rFonts w:ascii="Times New Roman" w:hAnsi="Times New Roman"/>
          <w:i w:val="1"/>
          <w:sz w:val="24"/>
        </w:rPr>
        <w:fldChar w:fldCharType="separate"/>
      </w:r>
      <w:r>
        <w:rPr>
          <w:rFonts w:ascii="Times New Roman" w:hAnsi="Times New Roman"/>
          <w:i w:val="1"/>
          <w:sz w:val="24"/>
        </w:rPr>
        <w:t>по ссылке</w:t>
      </w:r>
      <w:r>
        <w:rPr>
          <w:rFonts w:ascii="Times New Roman" w:hAnsi="Times New Roman"/>
          <w:i w:val="1"/>
          <w:sz w:val="24"/>
        </w:rPr>
        <w:fldChar w:fldCharType="end"/>
      </w:r>
      <w:r>
        <w:rPr>
          <w:rFonts w:ascii="Times New Roman" w:hAnsi="Times New Roman"/>
          <w:i w:val="1"/>
          <w:color w:val="0B1F33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3000000">
      <w:pPr>
        <w:pStyle w:val="Style_1"/>
        <w:spacing w:after="120" w:before="12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4000000">
      <w:pPr>
        <w:pStyle w:val="Style_1"/>
        <w:ind w:firstLine="851"/>
        <w:jc w:val="both"/>
      </w:pPr>
      <w:r>
        <w:rPr>
          <w:rFonts w:ascii="Times New Roman" w:hAnsi="Times New Roman"/>
          <w:i w:val="1"/>
          <w:color w:val="000000"/>
          <w:sz w:val="24"/>
        </w:rPr>
        <w:t>О том</w:t>
      </w:r>
      <w:r>
        <w:rPr>
          <w:rFonts w:ascii="Times New Roman" w:hAnsi="Times New Roman"/>
          <w:b w:val="1"/>
          <w:i w:val="1"/>
          <w:color w:val="000000"/>
          <w:sz w:val="24"/>
        </w:rPr>
        <w:t>, как защитить себя при незаконном переводе пенсионных накоплений</w:t>
      </w:r>
      <w:r>
        <w:rPr>
          <w:rFonts w:ascii="Times New Roman" w:hAnsi="Times New Roman"/>
          <w:i w:val="1"/>
          <w:color w:val="000000"/>
          <w:sz w:val="24"/>
        </w:rPr>
        <w:t>, читайте также в карточках</w:t>
      </w:r>
      <w:bookmarkStart w:id="1" w:name="_GoBack"/>
      <w:bookmarkEnd w:id="1"/>
      <w:r>
        <w:rPr>
          <w:rFonts w:ascii="Times New Roman" w:hAnsi="Times New Roman"/>
          <w:i w:val="1"/>
          <w:color w:val="000000"/>
          <w:sz w:val="24"/>
        </w:rPr>
        <w:t>.</w:t>
      </w:r>
      <w:r>
        <w:br w:type="page"/>
      </w:r>
    </w:p>
    <w:p w14:paraId="25000000">
      <w:pPr>
        <w:pStyle w:val="Style_1"/>
        <w:spacing w:line="252" w:lineRule="auto"/>
        <w:ind/>
        <w:jc w:val="both"/>
        <w:rPr>
          <w:rFonts w:ascii="Times New Roman" w:hAnsi="Times New Roman"/>
          <w:b w:val="1"/>
          <w:sz w:val="24"/>
          <w:highlight w:val="lightGray"/>
          <w:u w:val="single"/>
        </w:rPr>
      </w:pPr>
    </w:p>
    <w:p w14:paraId="26000000">
      <w:pPr>
        <w:pStyle w:val="Style_1"/>
        <w:spacing w:line="252" w:lineRule="auto"/>
        <w:ind/>
        <w:jc w:val="both"/>
        <w:rPr>
          <w:rFonts w:ascii="Times New Roman" w:hAnsi="Times New Roman"/>
          <w:b w:val="1"/>
          <w:color w:val="000000"/>
          <w:sz w:val="24"/>
          <w:highlight w:val="lightGray"/>
          <w:u w:val="single"/>
        </w:rPr>
      </w:pPr>
    </w:p>
    <w:p w14:paraId="27000000">
      <w:pPr>
        <w:pStyle w:val="Style_1"/>
        <w:spacing w:after="160" w:before="0"/>
        <w:ind/>
      </w:pPr>
    </w:p>
    <w:sectPr>
      <w:type w:val="nextPage"/>
      <w:pgSz w:h="16838" w:orient="portrait" w:w="11906"/>
      <w:pgMar w:bottom="426" w:footer="0" w:gutter="0" w:header="0" w:left="1701" w:right="850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1800" w:val="left"/>
        </w:tabs>
        <w:ind w:hanging="360" w:left="180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520" w:val="left"/>
        </w:tabs>
        <w:ind w:hanging="360" w:left="252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240" w:val="left"/>
        </w:tabs>
        <w:ind w:hanging="360" w:left="324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5400" w:val="left"/>
        </w:tabs>
        <w:ind w:hanging="360" w:left="540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7560" w:val="left"/>
        </w:tabs>
        <w:ind w:hanging="360" w:left="75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annotation reference"/>
    <w:basedOn w:val="Style_4"/>
    <w:link w:val="Style_3_ch"/>
    <w:rPr>
      <w:sz w:val="16"/>
    </w:rPr>
  </w:style>
  <w:style w:styleId="Style_3_ch" w:type="character">
    <w:name w:val="annotation reference"/>
    <w:basedOn w:val="Style_4_ch"/>
    <w:link w:val="Style_3"/>
    <w:rPr>
      <w:sz w:val="16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1"/>
    <w:link w:val="Style_8_ch"/>
    <w:pPr>
      <w:spacing w:after="140" w:before="0" w:line="276" w:lineRule="auto"/>
      <w:ind/>
    </w:pPr>
  </w:style>
  <w:style w:styleId="Style_8_ch" w:type="character">
    <w:name w:val="Body Text"/>
    <w:basedOn w:val="Style_1_ch"/>
    <w:link w:val="Style_8"/>
  </w:style>
  <w:style w:styleId="Style_9" w:type="paragraph">
    <w:name w:val="Заголовок"/>
    <w:basedOn w:val="Style_1"/>
    <w:next w:val="Style_8"/>
    <w:link w:val="Style_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9_ch" w:type="character">
    <w:name w:val="Заголовок"/>
    <w:basedOn w:val="Style_1_ch"/>
    <w:link w:val="Style_9"/>
    <w:rPr>
      <w:rFonts w:ascii="Liberation Sans" w:hAnsi="Liberation San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1"/>
    <w:link w:val="Style_11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1_ch"/>
    <w:link w:val="Style_11"/>
    <w:rPr>
      <w:rFonts w:ascii="Times New Roman" w:hAnsi="Times New Roman"/>
      <w:b w:val="1"/>
      <w:sz w:val="27"/>
    </w:rPr>
  </w:style>
  <w:style w:styleId="Style_12" w:type="paragraph">
    <w:name w:val="Balloon Text"/>
    <w:basedOn w:val="Style_1"/>
    <w:link w:val="Style_12_ch"/>
    <w:pPr>
      <w:spacing w:after="0" w:before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1_ch"/>
    <w:link w:val="Style_12"/>
    <w:rPr>
      <w:rFonts w:ascii="Segoe UI" w:hAnsi="Segoe UI"/>
      <w:sz w:val="18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List Paragraph"/>
    <w:basedOn w:val="Style_1"/>
    <w:link w:val="Style_14_ch"/>
    <w:pPr>
      <w:spacing w:after="0" w:before="0" w:line="240" w:lineRule="auto"/>
      <w:ind w:firstLine="0" w:left="720"/>
    </w:pPr>
    <w:rPr>
      <w:rFonts w:ascii="Calibri" w:hAnsi="Calibri"/>
    </w:rPr>
  </w:style>
  <w:style w:styleId="Style_14_ch" w:type="character">
    <w:name w:val="List Paragraph"/>
    <w:basedOn w:val="Style_1_ch"/>
    <w:link w:val="Style_14"/>
    <w:rPr>
      <w:rFonts w:ascii="Calibri" w:hAnsi="Calibri"/>
    </w:rPr>
  </w:style>
  <w:style w:styleId="Style_15" w:type="paragraph">
    <w:name w:val="Посещённая гиперссылка"/>
    <w:basedOn w:val="Style_4"/>
    <w:link w:val="Style_15_ch"/>
    <w:rPr>
      <w:color w:themeColor="followedHyperlink" w:val="954F72"/>
      <w:u w:val="single"/>
    </w:rPr>
  </w:style>
  <w:style w:styleId="Style_15_ch" w:type="character">
    <w:name w:val="Посещённая гиперссылка"/>
    <w:basedOn w:val="Style_4_ch"/>
    <w:link w:val="Style_15"/>
    <w:rPr>
      <w:color w:themeColor="followedHyperlink" w:val="954F72"/>
      <w:u w:val="single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6" w:type="paragraph">
    <w:name w:val="toc 3"/>
    <w:next w:val="Style_1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Текст выноски Знак"/>
    <w:basedOn w:val="Style_4"/>
    <w:link w:val="Style_17_ch"/>
    <w:rPr>
      <w:rFonts w:ascii="Segoe UI" w:hAnsi="Segoe UI"/>
      <w:sz w:val="18"/>
    </w:rPr>
  </w:style>
  <w:style w:styleId="Style_17_ch" w:type="character">
    <w:name w:val="Текст выноски Знак"/>
    <w:basedOn w:val="Style_4_ch"/>
    <w:link w:val="Style_17"/>
    <w:rPr>
      <w:rFonts w:ascii="Segoe UI" w:hAnsi="Segoe UI"/>
      <w:sz w:val="18"/>
    </w:rPr>
  </w:style>
  <w:style w:styleId="Style_18" w:type="paragraph">
    <w:name w:val="Заголовок 3 Знак"/>
    <w:basedOn w:val="Style_4"/>
    <w:link w:val="Style_18_ch"/>
    <w:rPr>
      <w:rFonts w:ascii="Times New Roman" w:hAnsi="Times New Roman"/>
      <w:b w:val="1"/>
      <w:sz w:val="27"/>
    </w:rPr>
  </w:style>
  <w:style w:styleId="Style_18_ch" w:type="character">
    <w:name w:val="Заголовок 3 Знак"/>
    <w:basedOn w:val="Style_4_ch"/>
    <w:link w:val="Style_18"/>
    <w:rPr>
      <w:rFonts w:ascii="Times New Roman" w:hAnsi="Times New Roman"/>
      <w:b w:val="1"/>
      <w:sz w:val="27"/>
    </w:rPr>
  </w:style>
  <w:style w:styleId="Style_19" w:type="paragraph">
    <w:name w:val="heading 5"/>
    <w:next w:val="Style_1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Заголовок 4 Знак"/>
    <w:basedOn w:val="Style_4"/>
    <w:link w:val="Style_20_ch"/>
    <w:rPr>
      <w:rFonts w:ascii="Times New Roman" w:hAnsi="Times New Roman"/>
      <w:b w:val="1"/>
      <w:sz w:val="24"/>
    </w:rPr>
  </w:style>
  <w:style w:styleId="Style_20_ch" w:type="character">
    <w:name w:val="Заголовок 4 Знак"/>
    <w:basedOn w:val="Style_4_ch"/>
    <w:link w:val="Style_20"/>
    <w:rPr>
      <w:rFonts w:ascii="Times New Roman" w:hAnsi="Times New Roman"/>
      <w:b w:val="1"/>
      <w:sz w:val="24"/>
    </w:rPr>
  </w:style>
  <w:style w:styleId="Style_21" w:type="paragraph">
    <w:name w:val="heading 1"/>
    <w:next w:val="Style_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Strong"/>
    <w:basedOn w:val="Style_4"/>
    <w:link w:val="Style_22_ch"/>
    <w:rPr>
      <w:b w:val="1"/>
    </w:rPr>
  </w:style>
  <w:style w:styleId="Style_22_ch" w:type="character">
    <w:name w:val="Strong"/>
    <w:basedOn w:val="Style_4_ch"/>
    <w:link w:val="Style_22"/>
    <w:rPr>
      <w:b w:val="1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List"/>
    <w:basedOn w:val="Style_8"/>
    <w:link w:val="Style_27_ch"/>
  </w:style>
  <w:style w:styleId="Style_27_ch" w:type="character">
    <w:name w:val="List"/>
    <w:basedOn w:val="Style_8_ch"/>
    <w:link w:val="Style_27"/>
  </w:style>
  <w:style w:styleId="Style_28" w:type="paragraph">
    <w:name w:val="Текст примечания Знак"/>
    <w:basedOn w:val="Style_4"/>
    <w:link w:val="Style_28_ch"/>
    <w:rPr>
      <w:sz w:val="20"/>
    </w:rPr>
  </w:style>
  <w:style w:styleId="Style_28_ch" w:type="character">
    <w:name w:val="Текст примечания Знак"/>
    <w:basedOn w:val="Style_4_ch"/>
    <w:link w:val="Style_28"/>
    <w:rPr>
      <w:sz w:val="20"/>
    </w:rPr>
  </w:style>
  <w:style w:styleId="Style_29" w:type="paragraph">
    <w:name w:val="toc 9"/>
    <w:next w:val="Style_1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annotation text"/>
    <w:basedOn w:val="Style_1"/>
    <w:link w:val="Style_30_ch"/>
    <w:pPr>
      <w:spacing w:line="240" w:lineRule="auto"/>
      <w:ind/>
    </w:pPr>
    <w:rPr>
      <w:sz w:val="20"/>
    </w:rPr>
  </w:style>
  <w:style w:styleId="Style_30_ch" w:type="character">
    <w:name w:val="annotation text"/>
    <w:basedOn w:val="Style_1_ch"/>
    <w:link w:val="Style_30"/>
    <w:rPr>
      <w:sz w:val="20"/>
    </w:rPr>
  </w:style>
  <w:style w:styleId="Style_31" w:type="paragraph">
    <w:name w:val="toc 8"/>
    <w:next w:val="Style_1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annotation subject"/>
    <w:basedOn w:val="Style_30"/>
    <w:next w:val="Style_30"/>
    <w:link w:val="Style_32_ch"/>
    <w:rPr>
      <w:b w:val="1"/>
    </w:rPr>
  </w:style>
  <w:style w:styleId="Style_32_ch" w:type="character">
    <w:name w:val="annotation subject"/>
    <w:basedOn w:val="Style_30_ch"/>
    <w:link w:val="Style_32"/>
    <w:rPr>
      <w:b w:val="1"/>
    </w:rPr>
  </w:style>
  <w:style w:styleId="Style_33" w:type="paragraph">
    <w:name w:val="toc 5"/>
    <w:next w:val="Style_1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Normal (Web)"/>
    <w:basedOn w:val="Style_1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1_ch"/>
    <w:link w:val="Style_34"/>
    <w:rPr>
      <w:rFonts w:ascii="Times New Roman" w:hAnsi="Times New Roman"/>
      <w:sz w:val="24"/>
    </w:rPr>
  </w:style>
  <w:style w:styleId="Style_35" w:type="paragraph">
    <w:name w:val="Тема примечания Знак"/>
    <w:basedOn w:val="Style_28"/>
    <w:link w:val="Style_35_ch"/>
    <w:rPr>
      <w:b w:val="1"/>
      <w:sz w:val="20"/>
    </w:rPr>
  </w:style>
  <w:style w:styleId="Style_35_ch" w:type="character">
    <w:name w:val="Тема примечания Знак"/>
    <w:basedOn w:val="Style_28_ch"/>
    <w:link w:val="Style_35"/>
    <w:rPr>
      <w:b w:val="1"/>
      <w:sz w:val="20"/>
    </w:rPr>
  </w:style>
  <w:style w:styleId="Style_36" w:type="paragraph">
    <w:name w:val="Subtitle"/>
    <w:next w:val="Style_1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1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basedOn w:val="Style_1"/>
    <w:link w:val="Style_38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8_ch" w:type="character">
    <w:name w:val="heading 4"/>
    <w:basedOn w:val="Style_1_ch"/>
    <w:link w:val="Style_38"/>
    <w:rPr>
      <w:rFonts w:ascii="Times New Roman" w:hAnsi="Times New Roman"/>
      <w:b w:val="1"/>
      <w:sz w:val="24"/>
    </w:rPr>
  </w:style>
  <w:style w:styleId="Style_39" w:type="paragraph">
    <w:name w:val="Интернет-ссылка"/>
    <w:basedOn w:val="Style_4"/>
    <w:link w:val="Style_39_ch"/>
    <w:rPr>
      <w:color w:val="0000FF"/>
      <w:u w:val="single"/>
    </w:rPr>
  </w:style>
  <w:style w:styleId="Style_39_ch" w:type="character">
    <w:name w:val="Интернет-ссылка"/>
    <w:basedOn w:val="Style_4_ch"/>
    <w:link w:val="Style_39"/>
    <w:rPr>
      <w:color w:val="0000FF"/>
      <w:u w:val="single"/>
    </w:rPr>
  </w:style>
  <w:style w:styleId="Style_40" w:type="paragraph">
    <w:name w:val="heading 2"/>
    <w:next w:val="Style_1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Caption"/>
    <w:basedOn w:val="Style_1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Caption"/>
    <w:basedOn w:val="Style_1_ch"/>
    <w:link w:val="Style_41"/>
    <w:rPr>
      <w:i w:val="1"/>
      <w:sz w:val="24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2024-12-20T08:14:02Z</dcterms:modified>
</cp:coreProperties>
</file>